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767F" w14:textId="5F8E703F" w:rsidR="00AC26DD" w:rsidRPr="00250007" w:rsidRDefault="00AC26DD" w:rsidP="00FC49EF">
      <w:pPr>
        <w:spacing w:after="0" w:line="259" w:lineRule="auto"/>
      </w:pPr>
    </w:p>
    <w:tbl>
      <w:tblPr>
        <w:tblStyle w:val="TableGrid"/>
        <w:tblW w:w="5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832"/>
        <w:gridCol w:w="8505"/>
      </w:tblGrid>
      <w:tr w:rsidR="001C6A23" w:rsidRPr="00745544" w14:paraId="75F45FAC" w14:textId="0E18807F" w:rsidTr="00BD40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41A7BF22" w14:textId="77777777" w:rsidR="001C6A23" w:rsidRPr="0039211F" w:rsidRDefault="001C6A23" w:rsidP="00B3397F">
            <w:pPr>
              <w:spacing w:before="120"/>
              <w:rPr>
                <w:rFonts w:asciiTheme="majorHAnsi" w:hAnsiTheme="majorHAnsi" w:cstheme="majorHAnsi"/>
                <w:color w:val="auto"/>
                <w:sz w:val="20"/>
                <w:szCs w:val="20"/>
              </w:rPr>
            </w:pPr>
            <w:r w:rsidRPr="0039211F">
              <w:rPr>
                <w:rFonts w:asciiTheme="majorHAnsi" w:hAnsiTheme="majorHAnsi" w:cstheme="majorHAnsi"/>
                <w:color w:val="auto"/>
                <w:sz w:val="20"/>
                <w:szCs w:val="20"/>
              </w:rPr>
              <w:t>#</w:t>
            </w:r>
          </w:p>
        </w:tc>
        <w:tc>
          <w:tcPr>
            <w:tcW w:w="1941" w:type="pct"/>
            <w:shd w:val="clear" w:color="auto" w:fill="auto"/>
          </w:tcPr>
          <w:p w14:paraId="5B5C54F7" w14:textId="77777777" w:rsidR="001C6A23" w:rsidRPr="0039211F" w:rsidRDefault="001C6A23" w:rsidP="00B3397F">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9211F">
              <w:rPr>
                <w:rFonts w:asciiTheme="majorHAnsi" w:hAnsiTheme="majorHAnsi" w:cstheme="majorHAnsi"/>
                <w:color w:val="auto"/>
                <w:sz w:val="20"/>
                <w:szCs w:val="20"/>
              </w:rPr>
              <w:t xml:space="preserve">Comments received (in general terms) </w:t>
            </w:r>
          </w:p>
        </w:tc>
        <w:tc>
          <w:tcPr>
            <w:tcW w:w="2831" w:type="pct"/>
            <w:shd w:val="clear" w:color="auto" w:fill="auto"/>
          </w:tcPr>
          <w:p w14:paraId="2441EB5E" w14:textId="77777777" w:rsidR="001C6A23" w:rsidRPr="0039211F" w:rsidRDefault="001C6A23" w:rsidP="00B3397F">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0"/>
                <w:szCs w:val="20"/>
              </w:rPr>
            </w:pPr>
            <w:r w:rsidRPr="0039211F">
              <w:rPr>
                <w:rFonts w:asciiTheme="majorHAnsi" w:hAnsiTheme="majorHAnsi" w:cstheme="majorHAnsi"/>
                <w:color w:val="auto"/>
                <w:sz w:val="20"/>
                <w:szCs w:val="20"/>
              </w:rPr>
              <w:t xml:space="preserve">Titleholder response </w:t>
            </w:r>
          </w:p>
          <w:p w14:paraId="00346ADD" w14:textId="5203A3C0" w:rsidR="001C6A23" w:rsidRPr="0039211F" w:rsidRDefault="001C6A23" w:rsidP="00B3397F">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1C6A23" w:rsidRPr="00745544" w14:paraId="41055A6E" w14:textId="515DDC66" w:rsidTr="00BD40E0">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3B073CF3" w14:textId="410C8517" w:rsidR="001C6A23" w:rsidRPr="0039211F" w:rsidRDefault="001C6A23" w:rsidP="00837025">
            <w:pPr>
              <w:spacing w:before="120"/>
              <w:rPr>
                <w:rFonts w:asciiTheme="majorHAnsi" w:hAnsiTheme="majorHAnsi" w:cstheme="majorHAnsi"/>
                <w:sz w:val="20"/>
                <w:szCs w:val="20"/>
              </w:rPr>
            </w:pPr>
            <w:r w:rsidRPr="0039211F">
              <w:rPr>
                <w:rFonts w:asciiTheme="majorHAnsi" w:hAnsiTheme="majorHAnsi" w:cstheme="majorHAnsi"/>
                <w:sz w:val="20"/>
                <w:szCs w:val="20"/>
              </w:rPr>
              <w:t>3</w:t>
            </w:r>
          </w:p>
        </w:tc>
        <w:tc>
          <w:tcPr>
            <w:tcW w:w="1941" w:type="pct"/>
            <w:shd w:val="clear" w:color="auto" w:fill="auto"/>
          </w:tcPr>
          <w:p w14:paraId="744D9CAF" w14:textId="430FE793" w:rsidR="001C6A23" w:rsidRPr="0039211F" w:rsidRDefault="00BD40E0" w:rsidP="00BD40E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9211F">
              <w:rPr>
                <w:rFonts w:asciiTheme="majorHAnsi" w:hAnsiTheme="majorHAnsi" w:cstheme="majorHAnsi"/>
                <w:b/>
                <w:bCs/>
                <w:i/>
                <w:color w:val="auto"/>
                <w:sz w:val="20"/>
                <w:szCs w:val="20"/>
              </w:rPr>
              <w:t>Matter:</w:t>
            </w:r>
            <w:r w:rsidRPr="0039211F">
              <w:rPr>
                <w:rFonts w:asciiTheme="majorHAnsi" w:hAnsiTheme="majorHAnsi" w:cstheme="majorHAnsi"/>
                <w:color w:val="auto"/>
                <w:sz w:val="20"/>
                <w:szCs w:val="20"/>
              </w:rPr>
              <w:t xml:space="preserve"> </w:t>
            </w:r>
            <w:r w:rsidR="001C6A23" w:rsidRPr="0039211F">
              <w:rPr>
                <w:rFonts w:asciiTheme="majorHAnsi" w:hAnsiTheme="majorHAnsi" w:cstheme="majorHAnsi"/>
                <w:i/>
                <w:iCs/>
                <w:color w:val="auto"/>
                <w:sz w:val="20"/>
                <w:szCs w:val="20"/>
              </w:rPr>
              <w:t>Fundamental issues</w:t>
            </w:r>
            <w:r w:rsidR="001C6A23" w:rsidRPr="0039211F">
              <w:rPr>
                <w:rFonts w:asciiTheme="majorHAnsi" w:hAnsiTheme="majorHAnsi" w:cstheme="majorHAnsi"/>
                <w:color w:val="auto"/>
                <w:sz w:val="20"/>
                <w:szCs w:val="20"/>
              </w:rPr>
              <w:t xml:space="preserve"> </w:t>
            </w:r>
          </w:p>
          <w:p w14:paraId="3A9BA898" w14:textId="2A983A41" w:rsidR="001C6A23" w:rsidRPr="0039211F" w:rsidRDefault="00D33BC8" w:rsidP="00BD40E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lang w:val="en-US"/>
              </w:rPr>
            </w:pPr>
            <w:r w:rsidRPr="0039211F">
              <w:rPr>
                <w:rFonts w:asciiTheme="majorHAnsi" w:hAnsiTheme="majorHAnsi" w:cstheme="majorHAnsi"/>
                <w:color w:val="auto"/>
                <w:sz w:val="20"/>
                <w:szCs w:val="20"/>
                <w:lang w:val="en-US"/>
              </w:rPr>
              <w:t xml:space="preserve">Claim </w:t>
            </w:r>
            <w:r w:rsidR="001C6A23" w:rsidRPr="0039211F">
              <w:rPr>
                <w:rFonts w:asciiTheme="majorHAnsi" w:hAnsiTheme="majorHAnsi" w:cstheme="majorHAnsi"/>
                <w:color w:val="auto"/>
                <w:sz w:val="20"/>
                <w:szCs w:val="20"/>
                <w:lang w:val="en-US"/>
              </w:rPr>
              <w:t>considers that the activity, and therefore the EP, is inconsistent with these key principles (outlined below).</w:t>
            </w:r>
          </w:p>
          <w:p w14:paraId="011145EE" w14:textId="35E610C1" w:rsidR="001C6A23" w:rsidRPr="0039211F" w:rsidRDefault="001C6A23" w:rsidP="0083702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9211F">
              <w:rPr>
                <w:rFonts w:asciiTheme="majorHAnsi" w:hAnsiTheme="majorHAnsi" w:cstheme="majorHAnsi"/>
                <w:b/>
                <w:bCs/>
                <w:i/>
                <w:color w:val="auto"/>
                <w:sz w:val="20"/>
                <w:szCs w:val="20"/>
              </w:rPr>
              <w:t>Claim:</w:t>
            </w:r>
            <w:r w:rsidRPr="0039211F">
              <w:rPr>
                <w:rFonts w:asciiTheme="majorHAnsi" w:hAnsiTheme="majorHAnsi" w:cstheme="majorHAnsi"/>
                <w:color w:val="auto"/>
                <w:sz w:val="20"/>
                <w:szCs w:val="20"/>
              </w:rPr>
              <w:t xml:space="preserve"> Refer below</w:t>
            </w:r>
          </w:p>
        </w:tc>
        <w:tc>
          <w:tcPr>
            <w:tcW w:w="2831" w:type="pct"/>
            <w:shd w:val="clear" w:color="auto" w:fill="auto"/>
          </w:tcPr>
          <w:p w14:paraId="6F02A422" w14:textId="77777777" w:rsidR="001C6A23" w:rsidRPr="0039211F" w:rsidRDefault="001C6A23" w:rsidP="0083702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9211F">
              <w:rPr>
                <w:rFonts w:asciiTheme="majorHAnsi" w:hAnsiTheme="majorHAnsi" w:cstheme="majorHAnsi"/>
                <w:color w:val="auto"/>
                <w:sz w:val="20"/>
                <w:szCs w:val="20"/>
              </w:rPr>
              <w:t xml:space="preserve">Santos’ Environmental Hazard Identification and Assessment Guideline (EA-91-IG-00004) includes consideration of the principles of Ecologically Sustainable Development (ESD).  </w:t>
            </w:r>
          </w:p>
          <w:p w14:paraId="303A20B4" w14:textId="76A4B816" w:rsidR="001C6A23" w:rsidRPr="0039211F" w:rsidRDefault="001C6A23" w:rsidP="0083702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9211F">
              <w:rPr>
                <w:rFonts w:asciiTheme="majorHAnsi" w:hAnsiTheme="majorHAnsi" w:cstheme="majorHAnsi"/>
                <w:color w:val="auto"/>
                <w:sz w:val="20"/>
                <w:szCs w:val="20"/>
              </w:rPr>
              <w:t>For each of the identified aspects in Sections 6 and 7, Santos ha</w:t>
            </w:r>
            <w:r w:rsidR="006F3581" w:rsidRPr="0039211F">
              <w:rPr>
                <w:rFonts w:asciiTheme="majorHAnsi" w:hAnsiTheme="majorHAnsi" w:cstheme="majorHAnsi"/>
                <w:color w:val="auto"/>
                <w:sz w:val="20"/>
                <w:szCs w:val="20"/>
              </w:rPr>
              <w:t>s</w:t>
            </w:r>
            <w:r w:rsidRPr="0039211F">
              <w:rPr>
                <w:rFonts w:asciiTheme="majorHAnsi" w:hAnsiTheme="majorHAnsi" w:cstheme="majorHAnsi"/>
                <w:color w:val="auto"/>
                <w:sz w:val="20"/>
                <w:szCs w:val="20"/>
              </w:rPr>
              <w:t xml:space="preserve"> considered whether the associated risks and impacts are consistent with the principles of ESD.   No changes have been made to the EP regarding this matter. </w:t>
            </w:r>
          </w:p>
        </w:tc>
      </w:tr>
      <w:tr w:rsidR="001C6A23" w:rsidRPr="00745544" w14:paraId="620DA7CD" w14:textId="7493ED39" w:rsidTr="00BD40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056AFAEB" w14:textId="34FC0E6A" w:rsidR="001C6A23" w:rsidRPr="0039211F" w:rsidRDefault="001C6A23" w:rsidP="00837025">
            <w:pPr>
              <w:spacing w:before="120"/>
              <w:rPr>
                <w:rFonts w:asciiTheme="majorHAnsi" w:hAnsiTheme="majorHAnsi" w:cstheme="majorHAnsi"/>
                <w:sz w:val="20"/>
                <w:szCs w:val="20"/>
              </w:rPr>
            </w:pPr>
            <w:r w:rsidRPr="0039211F">
              <w:rPr>
                <w:rFonts w:asciiTheme="majorHAnsi" w:hAnsiTheme="majorHAnsi" w:cstheme="majorHAnsi"/>
                <w:sz w:val="20"/>
                <w:szCs w:val="20"/>
              </w:rPr>
              <w:t>3.1</w:t>
            </w:r>
          </w:p>
        </w:tc>
        <w:tc>
          <w:tcPr>
            <w:tcW w:w="1941" w:type="pct"/>
            <w:shd w:val="clear" w:color="auto" w:fill="auto"/>
          </w:tcPr>
          <w:p w14:paraId="037E6CAC" w14:textId="3294E831" w:rsidR="001C6A23" w:rsidRPr="00683078" w:rsidRDefault="001C6A23" w:rsidP="00BD40E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lang w:val="en-US"/>
              </w:rPr>
            </w:pPr>
            <w:r w:rsidRPr="00683078">
              <w:rPr>
                <w:rFonts w:asciiTheme="majorHAnsi" w:hAnsiTheme="majorHAnsi" w:cstheme="majorHAnsi"/>
                <w:b/>
                <w:bCs/>
                <w:i/>
                <w:color w:val="auto"/>
                <w:sz w:val="20"/>
                <w:szCs w:val="20"/>
              </w:rPr>
              <w:t>Matter:</w:t>
            </w:r>
            <w:r w:rsidRPr="00683078">
              <w:rPr>
                <w:rFonts w:asciiTheme="majorHAnsi" w:hAnsiTheme="majorHAnsi" w:cstheme="majorHAnsi"/>
                <w:color w:val="auto"/>
                <w:sz w:val="20"/>
                <w:szCs w:val="20"/>
              </w:rPr>
              <w:t xml:space="preserve"> </w:t>
            </w:r>
            <w:r w:rsidRPr="00683078">
              <w:rPr>
                <w:rFonts w:asciiTheme="majorHAnsi" w:hAnsiTheme="majorHAnsi" w:cstheme="majorHAnsi"/>
                <w:i/>
                <w:iCs/>
                <w:color w:val="auto"/>
                <w:sz w:val="20"/>
                <w:szCs w:val="20"/>
              </w:rPr>
              <w:t>Precautionary Principle</w:t>
            </w:r>
          </w:p>
          <w:p w14:paraId="241BAD7F" w14:textId="20F3A8F9" w:rsidR="001C6A23" w:rsidRPr="00683078" w:rsidRDefault="00D33BC8" w:rsidP="00BD40E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lang w:val="en-US"/>
              </w:rPr>
              <w:t>Claim</w:t>
            </w:r>
            <w:r w:rsidR="001C6A23" w:rsidRPr="00683078">
              <w:rPr>
                <w:rFonts w:asciiTheme="majorHAnsi" w:hAnsiTheme="majorHAnsi" w:cstheme="majorHAnsi"/>
                <w:color w:val="auto"/>
                <w:sz w:val="20"/>
                <w:szCs w:val="20"/>
                <w:lang w:val="en-US"/>
              </w:rPr>
              <w:t xml:space="preserve"> that this activity is fundamentally inconsistent with the principles of Ecologically Sustainable Development (</w:t>
            </w:r>
            <w:r w:rsidR="001C6A23" w:rsidRPr="00683078">
              <w:rPr>
                <w:rFonts w:asciiTheme="majorHAnsi" w:hAnsiTheme="majorHAnsi" w:cstheme="majorHAnsi"/>
                <w:b/>
                <w:color w:val="auto"/>
                <w:sz w:val="20"/>
                <w:szCs w:val="20"/>
                <w:lang w:val="en-US"/>
              </w:rPr>
              <w:t>ESD</w:t>
            </w:r>
            <w:r w:rsidR="001C6A23" w:rsidRPr="00683078">
              <w:rPr>
                <w:rFonts w:asciiTheme="majorHAnsi" w:hAnsiTheme="majorHAnsi" w:cstheme="majorHAnsi"/>
                <w:color w:val="auto"/>
                <w:sz w:val="20"/>
                <w:szCs w:val="20"/>
                <w:lang w:val="en-US"/>
              </w:rPr>
              <w:t>) including the Precautionary Principle</w:t>
            </w:r>
          </w:p>
          <w:p w14:paraId="7428AB63" w14:textId="6F87DA6A" w:rsidR="001C6A23" w:rsidRPr="00683078" w:rsidRDefault="001C6A23" w:rsidP="00837025">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b/>
                <w:bCs/>
                <w:i/>
                <w:color w:val="auto"/>
                <w:sz w:val="20"/>
                <w:szCs w:val="20"/>
              </w:rPr>
              <w:t>Claim:</w:t>
            </w:r>
            <w:r w:rsidRPr="00683078">
              <w:rPr>
                <w:rFonts w:asciiTheme="majorHAnsi" w:hAnsiTheme="majorHAnsi" w:cstheme="majorHAnsi"/>
                <w:color w:val="auto"/>
                <w:sz w:val="20"/>
                <w:szCs w:val="20"/>
              </w:rPr>
              <w:t xml:space="preserve"> The EP does not identify any climate change risks associated with the activities of exploring and developing new fossil fuel resources. That is, the EP fails to identify that there is a threat of serious and irreversible damage associated with anthropogenic climate change</w:t>
            </w:r>
          </w:p>
        </w:tc>
        <w:tc>
          <w:tcPr>
            <w:tcW w:w="2831" w:type="pct"/>
            <w:shd w:val="clear" w:color="auto" w:fill="auto"/>
          </w:tcPr>
          <w:p w14:paraId="7F4DE57E" w14:textId="77777777" w:rsidR="001C6A23" w:rsidRPr="00683078" w:rsidRDefault="001C6A23" w:rsidP="00414B22">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rPr>
              <w:t xml:space="preserve">Santos’ Environmental Hazard Identification and Assessment Guideline (EA-91-IG-00004) includes consideration of the principles of Ecologically Sustainable Development (ESD).  </w:t>
            </w:r>
          </w:p>
          <w:p w14:paraId="5743E0A3" w14:textId="4F796ADD" w:rsidR="001C6A23" w:rsidRPr="00683078" w:rsidRDefault="00E70216" w:rsidP="00414B22">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683078">
              <w:rPr>
                <w:rFonts w:asciiTheme="majorHAnsi" w:hAnsiTheme="majorHAnsi" w:cstheme="majorHAnsi"/>
                <w:color w:val="auto"/>
                <w:sz w:val="20"/>
                <w:szCs w:val="20"/>
              </w:rPr>
              <w:t xml:space="preserve">Santos clarifies that this EP is only for </w:t>
            </w:r>
            <w:r w:rsidR="00D7655A" w:rsidRPr="00683078">
              <w:rPr>
                <w:rFonts w:asciiTheme="majorHAnsi" w:hAnsiTheme="majorHAnsi" w:cstheme="majorHAnsi"/>
                <w:color w:val="auto"/>
                <w:sz w:val="20"/>
                <w:szCs w:val="20"/>
              </w:rPr>
              <w:t xml:space="preserve">an </w:t>
            </w:r>
            <w:r w:rsidRPr="00683078">
              <w:rPr>
                <w:rFonts w:asciiTheme="majorHAnsi" w:hAnsiTheme="majorHAnsi" w:cstheme="majorHAnsi"/>
                <w:color w:val="auto"/>
                <w:sz w:val="20"/>
                <w:szCs w:val="20"/>
              </w:rPr>
              <w:t>exploration</w:t>
            </w:r>
            <w:r w:rsidR="00D7655A" w:rsidRPr="00683078">
              <w:rPr>
                <w:rFonts w:asciiTheme="majorHAnsi" w:hAnsiTheme="majorHAnsi" w:cstheme="majorHAnsi"/>
                <w:color w:val="auto"/>
                <w:sz w:val="20"/>
                <w:szCs w:val="20"/>
              </w:rPr>
              <w:t xml:space="preserve"> drilling activity</w:t>
            </w:r>
            <w:r w:rsidRPr="00683078">
              <w:rPr>
                <w:rFonts w:asciiTheme="majorHAnsi" w:hAnsiTheme="majorHAnsi" w:cstheme="majorHAnsi"/>
                <w:color w:val="auto"/>
                <w:sz w:val="20"/>
                <w:szCs w:val="20"/>
              </w:rPr>
              <w:t xml:space="preserve"> and not for </w:t>
            </w:r>
            <w:r w:rsidR="00D7655A" w:rsidRPr="00683078">
              <w:rPr>
                <w:rFonts w:asciiTheme="majorHAnsi" w:hAnsiTheme="majorHAnsi" w:cstheme="majorHAnsi"/>
                <w:color w:val="auto"/>
                <w:sz w:val="20"/>
                <w:szCs w:val="20"/>
              </w:rPr>
              <w:t xml:space="preserve">the </w:t>
            </w:r>
            <w:r w:rsidRPr="00683078">
              <w:rPr>
                <w:rFonts w:asciiTheme="majorHAnsi" w:hAnsiTheme="majorHAnsi" w:cstheme="majorHAnsi"/>
                <w:color w:val="auto"/>
                <w:sz w:val="20"/>
                <w:szCs w:val="20"/>
              </w:rPr>
              <w:t>development</w:t>
            </w:r>
            <w:r w:rsidR="00D7655A" w:rsidRPr="00683078">
              <w:rPr>
                <w:rFonts w:asciiTheme="majorHAnsi" w:hAnsiTheme="majorHAnsi" w:cstheme="majorHAnsi"/>
                <w:color w:val="auto"/>
                <w:sz w:val="20"/>
                <w:szCs w:val="20"/>
              </w:rPr>
              <w:t xml:space="preserve"> of fossil fuels which would be subject to separate approvals</w:t>
            </w:r>
            <w:r w:rsidR="0039211F" w:rsidRPr="00683078">
              <w:rPr>
                <w:rFonts w:asciiTheme="majorHAnsi" w:hAnsiTheme="majorHAnsi" w:cstheme="majorHAnsi"/>
                <w:color w:val="auto"/>
                <w:sz w:val="20"/>
                <w:szCs w:val="20"/>
              </w:rPr>
              <w:t xml:space="preserve"> which are required to consider the effects of atmospheric emissions from development and fossil fuel production</w:t>
            </w:r>
            <w:r w:rsidRPr="00683078">
              <w:rPr>
                <w:rFonts w:asciiTheme="majorHAnsi" w:hAnsiTheme="majorHAnsi" w:cstheme="majorHAnsi"/>
                <w:color w:val="auto"/>
                <w:sz w:val="20"/>
                <w:szCs w:val="20"/>
              </w:rPr>
              <w:t xml:space="preserve">. </w:t>
            </w:r>
            <w:r w:rsidR="001C6A23" w:rsidRPr="00683078">
              <w:rPr>
                <w:rFonts w:asciiTheme="majorHAnsi" w:hAnsiTheme="majorHAnsi" w:cstheme="majorHAnsi"/>
                <w:color w:val="auto"/>
                <w:sz w:val="20"/>
                <w:szCs w:val="20"/>
              </w:rPr>
              <w:t>For each of the identified aspects in Sections 6 and 7, Santos ha</w:t>
            </w:r>
            <w:r w:rsidR="006F3581" w:rsidRPr="00683078">
              <w:rPr>
                <w:rFonts w:asciiTheme="majorHAnsi" w:hAnsiTheme="majorHAnsi" w:cstheme="majorHAnsi"/>
                <w:color w:val="auto"/>
                <w:sz w:val="20"/>
                <w:szCs w:val="20"/>
              </w:rPr>
              <w:t>s</w:t>
            </w:r>
            <w:r w:rsidR="001C6A23" w:rsidRPr="00683078">
              <w:rPr>
                <w:rFonts w:asciiTheme="majorHAnsi" w:hAnsiTheme="majorHAnsi" w:cstheme="majorHAnsi"/>
                <w:color w:val="auto"/>
                <w:sz w:val="20"/>
                <w:szCs w:val="20"/>
              </w:rPr>
              <w:t xml:space="preserve"> considered whether the associated risks and impacts are consistent with the principles of ESD.  No changes have been made to the EP regarding this matter.</w:t>
            </w:r>
          </w:p>
        </w:tc>
      </w:tr>
      <w:tr w:rsidR="001C6A23" w:rsidRPr="00745544" w14:paraId="26B8BCD2" w14:textId="31B4A066" w:rsidTr="00BD40E0">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40EB5477" w14:textId="2571C215" w:rsidR="001C6A23" w:rsidRPr="0039211F" w:rsidRDefault="001C6A23" w:rsidP="00414B22">
            <w:pPr>
              <w:spacing w:before="120"/>
              <w:rPr>
                <w:rFonts w:asciiTheme="majorHAnsi" w:hAnsiTheme="majorHAnsi" w:cstheme="majorHAnsi"/>
                <w:sz w:val="20"/>
                <w:szCs w:val="20"/>
              </w:rPr>
            </w:pPr>
            <w:r w:rsidRPr="0039211F">
              <w:rPr>
                <w:rFonts w:asciiTheme="majorHAnsi" w:hAnsiTheme="majorHAnsi" w:cstheme="majorHAnsi"/>
                <w:sz w:val="20"/>
                <w:szCs w:val="20"/>
              </w:rPr>
              <w:t>3.2</w:t>
            </w:r>
          </w:p>
        </w:tc>
        <w:tc>
          <w:tcPr>
            <w:tcW w:w="1941" w:type="pct"/>
            <w:shd w:val="clear" w:color="auto" w:fill="auto"/>
          </w:tcPr>
          <w:p w14:paraId="277F5C5F" w14:textId="3D3D2852" w:rsidR="006F3581" w:rsidRPr="0039211F" w:rsidRDefault="00BD40E0" w:rsidP="00BD40E0">
            <w:pPr>
              <w:cnfStyle w:val="000000000000" w:firstRow="0" w:lastRow="0" w:firstColumn="0" w:lastColumn="0" w:oddVBand="0" w:evenVBand="0" w:oddHBand="0" w:evenHBand="0" w:firstRowFirstColumn="0" w:firstRowLastColumn="0" w:lastRowFirstColumn="0" w:lastRowLastColumn="0"/>
              <w:rPr>
                <w:b/>
                <w:bCs/>
                <w:sz w:val="20"/>
                <w:szCs w:val="20"/>
              </w:rPr>
            </w:pPr>
            <w:r w:rsidRPr="0039211F">
              <w:rPr>
                <w:rFonts w:asciiTheme="majorHAnsi" w:hAnsiTheme="majorHAnsi" w:cstheme="majorHAnsi"/>
                <w:b/>
                <w:bCs/>
                <w:i/>
                <w:color w:val="auto"/>
                <w:sz w:val="20"/>
                <w:szCs w:val="20"/>
              </w:rPr>
              <w:t>Matter:</w:t>
            </w:r>
            <w:r w:rsidRPr="0039211F">
              <w:rPr>
                <w:rFonts w:asciiTheme="majorHAnsi" w:hAnsiTheme="majorHAnsi" w:cstheme="majorHAnsi"/>
                <w:color w:val="auto"/>
                <w:sz w:val="20"/>
                <w:szCs w:val="20"/>
              </w:rPr>
              <w:t xml:space="preserve"> </w:t>
            </w:r>
            <w:r w:rsidR="006F3581" w:rsidRPr="0039211F">
              <w:rPr>
                <w:i/>
                <w:iCs/>
                <w:sz w:val="20"/>
                <w:szCs w:val="20"/>
              </w:rPr>
              <w:t>Intergenerational Equity Principle</w:t>
            </w:r>
          </w:p>
          <w:p w14:paraId="5C0760A2" w14:textId="606069F0" w:rsidR="006F3581" w:rsidRPr="0039211F" w:rsidRDefault="00D33BC8" w:rsidP="00BD40E0">
            <w:pPr>
              <w:cnfStyle w:val="000000000000" w:firstRow="0" w:lastRow="0" w:firstColumn="0" w:lastColumn="0" w:oddVBand="0" w:evenVBand="0" w:oddHBand="0" w:evenHBand="0" w:firstRowFirstColumn="0" w:firstRowLastColumn="0" w:lastRowFirstColumn="0" w:lastRowLastColumn="0"/>
              <w:rPr>
                <w:sz w:val="20"/>
                <w:szCs w:val="20"/>
              </w:rPr>
            </w:pPr>
            <w:r w:rsidRPr="0039211F">
              <w:rPr>
                <w:sz w:val="20"/>
                <w:szCs w:val="20"/>
              </w:rPr>
              <w:t xml:space="preserve">Claim </w:t>
            </w:r>
            <w:r w:rsidR="006F3581" w:rsidRPr="0039211F">
              <w:rPr>
                <w:sz w:val="20"/>
                <w:szCs w:val="20"/>
              </w:rPr>
              <w:t xml:space="preserve">that development of </w:t>
            </w:r>
            <w:r w:rsidR="001C13BD">
              <w:rPr>
                <w:sz w:val="20"/>
                <w:szCs w:val="20"/>
              </w:rPr>
              <w:t xml:space="preserve">additional </w:t>
            </w:r>
            <w:r w:rsidR="006F3581" w:rsidRPr="0039211F">
              <w:rPr>
                <w:sz w:val="20"/>
                <w:szCs w:val="20"/>
              </w:rPr>
              <w:t xml:space="preserve">petroleum and gas resources is fundamentally inconsistent with long-term health, diversity and productivity of the environment </w:t>
            </w:r>
            <w:r w:rsidR="00764E48" w:rsidRPr="00764E48">
              <w:rPr>
                <w:sz w:val="20"/>
                <w:szCs w:val="20"/>
              </w:rPr>
              <w:t>due to the long term and irreversible impacts of climate change</w:t>
            </w:r>
            <w:r w:rsidR="006F3581" w:rsidRPr="0039211F">
              <w:rPr>
                <w:sz w:val="20"/>
                <w:szCs w:val="20"/>
              </w:rPr>
              <w:t>.</w:t>
            </w:r>
          </w:p>
          <w:p w14:paraId="22130291" w14:textId="77777777" w:rsidR="006F3581" w:rsidRPr="00745544" w:rsidRDefault="006F3581" w:rsidP="006F3581">
            <w:pPr>
              <w:cnfStyle w:val="000000000000" w:firstRow="0" w:lastRow="0" w:firstColumn="0" w:lastColumn="0" w:oddVBand="0" w:evenVBand="0" w:oddHBand="0" w:evenHBand="0" w:firstRowFirstColumn="0" w:firstRowLastColumn="0" w:lastRowFirstColumn="0" w:lastRowLastColumn="0"/>
              <w:rPr>
                <w:color w:val="F58220" w:themeColor="background2"/>
                <w:highlight w:val="yellow"/>
              </w:rPr>
            </w:pPr>
          </w:p>
          <w:p w14:paraId="5C321C1D" w14:textId="683C1261" w:rsidR="006F3581" w:rsidRPr="00683078" w:rsidRDefault="006F3581" w:rsidP="006F3581">
            <w:pPr>
              <w:cnfStyle w:val="000000000000" w:firstRow="0" w:lastRow="0" w:firstColumn="0" w:lastColumn="0" w:oddVBand="0" w:evenVBand="0" w:oddHBand="0" w:evenHBand="0" w:firstRowFirstColumn="0" w:firstRowLastColumn="0" w:lastRowFirstColumn="0" w:lastRowLastColumn="0"/>
              <w:rPr>
                <w:b/>
                <w:bCs/>
                <w:color w:val="auto"/>
              </w:rPr>
            </w:pPr>
            <w:r w:rsidRPr="00683078">
              <w:rPr>
                <w:rFonts w:asciiTheme="majorHAnsi" w:hAnsiTheme="majorHAnsi" w:cstheme="majorHAnsi"/>
                <w:b/>
                <w:bCs/>
                <w:i/>
                <w:color w:val="auto"/>
                <w:sz w:val="20"/>
                <w:szCs w:val="20"/>
              </w:rPr>
              <w:t>Claim:</w:t>
            </w:r>
            <w:r w:rsidRPr="00683078">
              <w:rPr>
                <w:b/>
                <w:bCs/>
                <w:color w:val="auto"/>
              </w:rPr>
              <w:t xml:space="preserve"> </w:t>
            </w:r>
            <w:r w:rsidRPr="00683078">
              <w:rPr>
                <w:color w:val="auto"/>
              </w:rPr>
              <w:t>T</w:t>
            </w:r>
            <w:r w:rsidRPr="00683078">
              <w:rPr>
                <w:sz w:val="20"/>
                <w:szCs w:val="20"/>
              </w:rPr>
              <w:t>he EP cannot be made consistent with the aim of maintaining and enhancing the health, diversity and productivity of the environment for the benefit of future generations, as required by the Intergenerational Equity Principle</w:t>
            </w:r>
          </w:p>
          <w:p w14:paraId="1F142FC6" w14:textId="6667F5A8" w:rsidR="001C6A23" w:rsidRPr="00745544" w:rsidRDefault="001C6A23" w:rsidP="006F3581">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p>
        </w:tc>
        <w:tc>
          <w:tcPr>
            <w:tcW w:w="2831" w:type="pct"/>
            <w:shd w:val="clear" w:color="auto" w:fill="auto"/>
          </w:tcPr>
          <w:p w14:paraId="02ED0B63" w14:textId="77777777" w:rsidR="006F3581" w:rsidRPr="00683078" w:rsidRDefault="006F3581" w:rsidP="006F3581">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rPr>
              <w:t xml:space="preserve">Santos’ Environmental Hazard Identification and Assessment Guideline (EA-91-IG-00004) includes consideration of the principles of Ecologically Sustainable Development (ESD).  </w:t>
            </w:r>
          </w:p>
          <w:p w14:paraId="74749361" w14:textId="77777777" w:rsidR="006F3581" w:rsidRPr="00683078" w:rsidRDefault="006F3581" w:rsidP="006F3581">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rPr>
              <w:t xml:space="preserve">For each of the identified aspects in Sections 6 and 7, Santos has considered whether the associated risks and impacts are consistent with the principles of ESD.  </w:t>
            </w:r>
          </w:p>
          <w:p w14:paraId="39381793" w14:textId="131FFF9E" w:rsidR="001C6A23" w:rsidRPr="00683078" w:rsidRDefault="006F3581" w:rsidP="006F3581">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rPr>
              <w:t>No changes have been made to the EP regarding this matter.</w:t>
            </w:r>
          </w:p>
          <w:p w14:paraId="647990E6" w14:textId="278F22D5" w:rsidR="006F3581" w:rsidRPr="00745544" w:rsidRDefault="006F3581" w:rsidP="006F3581">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p>
        </w:tc>
      </w:tr>
      <w:tr w:rsidR="001C6A23" w:rsidRPr="00745544" w14:paraId="57139E35" w14:textId="5FD2DA7A" w:rsidTr="00BD40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18308208" w14:textId="125152DA" w:rsidR="001C6A23" w:rsidRPr="0039211F" w:rsidRDefault="001C6A23" w:rsidP="00D153F4">
            <w:pPr>
              <w:spacing w:before="120"/>
              <w:rPr>
                <w:rFonts w:asciiTheme="majorHAnsi" w:hAnsiTheme="majorHAnsi" w:cstheme="majorHAnsi"/>
                <w:b w:val="0"/>
                <w:sz w:val="20"/>
                <w:szCs w:val="20"/>
              </w:rPr>
            </w:pPr>
            <w:r w:rsidRPr="0039211F">
              <w:rPr>
                <w:rFonts w:asciiTheme="majorHAnsi" w:hAnsiTheme="majorHAnsi" w:cstheme="majorHAnsi"/>
                <w:sz w:val="20"/>
                <w:szCs w:val="20"/>
              </w:rPr>
              <w:lastRenderedPageBreak/>
              <w:t>3.3</w:t>
            </w:r>
          </w:p>
        </w:tc>
        <w:tc>
          <w:tcPr>
            <w:tcW w:w="1941" w:type="pct"/>
            <w:shd w:val="clear" w:color="auto" w:fill="auto"/>
          </w:tcPr>
          <w:p w14:paraId="36960189" w14:textId="1A7B96AA" w:rsidR="001C6A23" w:rsidRPr="00683078" w:rsidRDefault="001C6A23" w:rsidP="00BD40E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20"/>
                <w:szCs w:val="20"/>
              </w:rPr>
            </w:pPr>
            <w:r w:rsidRPr="00683078">
              <w:rPr>
                <w:rFonts w:asciiTheme="majorHAnsi" w:hAnsiTheme="majorHAnsi" w:cstheme="majorHAnsi"/>
                <w:b/>
                <w:bCs/>
                <w:i/>
                <w:color w:val="auto"/>
                <w:sz w:val="20"/>
                <w:szCs w:val="20"/>
              </w:rPr>
              <w:t>Matter:</w:t>
            </w:r>
            <w:r w:rsidRPr="00683078">
              <w:rPr>
                <w:rFonts w:asciiTheme="majorHAnsi" w:hAnsiTheme="majorHAnsi" w:cstheme="majorHAnsi"/>
                <w:color w:val="auto"/>
                <w:sz w:val="20"/>
                <w:szCs w:val="20"/>
              </w:rPr>
              <w:t xml:space="preserve"> C</w:t>
            </w:r>
            <w:r w:rsidRPr="00683078">
              <w:rPr>
                <w:rFonts w:asciiTheme="majorHAnsi" w:hAnsiTheme="majorHAnsi" w:cstheme="majorHAnsi"/>
                <w:i/>
                <w:iCs/>
                <w:sz w:val="20"/>
                <w:szCs w:val="20"/>
              </w:rPr>
              <w:t>onservation Principle</w:t>
            </w:r>
          </w:p>
          <w:p w14:paraId="45142DFF" w14:textId="16FA8793" w:rsidR="001C6A23" w:rsidRPr="00683078" w:rsidRDefault="00D33BC8" w:rsidP="00BD40E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683078">
              <w:rPr>
                <w:rFonts w:asciiTheme="majorHAnsi" w:hAnsiTheme="majorHAnsi" w:cstheme="majorHAnsi"/>
                <w:sz w:val="20"/>
                <w:szCs w:val="20"/>
              </w:rPr>
              <w:t>Claim</w:t>
            </w:r>
            <w:r w:rsidR="001C6A23" w:rsidRPr="00683078">
              <w:rPr>
                <w:rFonts w:asciiTheme="majorHAnsi" w:hAnsiTheme="majorHAnsi" w:cstheme="majorHAnsi"/>
                <w:sz w:val="20"/>
                <w:szCs w:val="20"/>
              </w:rPr>
              <w:t xml:space="preserve"> that </w:t>
            </w:r>
            <w:r w:rsidR="002B7909" w:rsidRPr="002B7909">
              <w:rPr>
                <w:rFonts w:asciiTheme="majorHAnsi" w:hAnsiTheme="majorHAnsi" w:cstheme="majorHAnsi"/>
                <w:sz w:val="20"/>
                <w:szCs w:val="20"/>
              </w:rPr>
              <w:t>a proper application of the conservation principle must prioritise conservation of biological diversity and ecological integrity</w:t>
            </w:r>
            <w:r w:rsidR="001C6A23" w:rsidRPr="00683078">
              <w:rPr>
                <w:rFonts w:asciiTheme="majorHAnsi" w:hAnsiTheme="majorHAnsi" w:cstheme="majorHAnsi"/>
                <w:sz w:val="20"/>
                <w:szCs w:val="20"/>
              </w:rPr>
              <w:t>.</w:t>
            </w:r>
          </w:p>
          <w:p w14:paraId="76ED7930" w14:textId="77777777" w:rsidR="00BD40E0" w:rsidRPr="00683078" w:rsidRDefault="00BD40E0" w:rsidP="00BD40E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p>
          <w:p w14:paraId="17F93A29" w14:textId="44F3F9C4" w:rsidR="001C6A23" w:rsidRPr="00745544" w:rsidRDefault="001C6A23" w:rsidP="00BD40E0">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highlight w:val="yellow"/>
              </w:rPr>
            </w:pPr>
            <w:r w:rsidRPr="00683078">
              <w:rPr>
                <w:rFonts w:asciiTheme="majorHAnsi" w:hAnsiTheme="majorHAnsi" w:cstheme="majorHAnsi"/>
                <w:i/>
                <w:color w:val="auto"/>
                <w:sz w:val="20"/>
                <w:szCs w:val="20"/>
              </w:rPr>
              <w:t>Claim:</w:t>
            </w:r>
            <w:r w:rsidRPr="00683078">
              <w:rPr>
                <w:rFonts w:asciiTheme="majorHAnsi" w:hAnsiTheme="majorHAnsi" w:cstheme="majorHAnsi"/>
                <w:color w:val="auto"/>
                <w:sz w:val="20"/>
                <w:szCs w:val="20"/>
              </w:rPr>
              <w:t xml:space="preserve"> T</w:t>
            </w:r>
            <w:r w:rsidRPr="00683078">
              <w:rPr>
                <w:rFonts w:asciiTheme="majorHAnsi" w:hAnsiTheme="majorHAnsi" w:cstheme="majorHAnsi"/>
                <w:sz w:val="20"/>
                <w:szCs w:val="20"/>
              </w:rPr>
              <w:t xml:space="preserve">he EP does not achieve the “fundamental” aims of the Conservation Principle.    </w:t>
            </w:r>
          </w:p>
        </w:tc>
        <w:tc>
          <w:tcPr>
            <w:tcW w:w="2831" w:type="pct"/>
            <w:shd w:val="clear" w:color="auto" w:fill="auto"/>
          </w:tcPr>
          <w:p w14:paraId="32D2446E" w14:textId="77777777" w:rsidR="001C6A23" w:rsidRPr="00683078" w:rsidRDefault="001C6A23" w:rsidP="00414B22">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rPr>
              <w:t xml:space="preserve">Santos’ Environmental Hazard Identification and Assessment Guideline (EA-91-IG-00004) includes consideration of the principles of Ecologically Sustainable Development (ESD).  </w:t>
            </w:r>
          </w:p>
          <w:p w14:paraId="4F38F4C9" w14:textId="5A6F863E" w:rsidR="001C6A23" w:rsidRPr="00745544" w:rsidRDefault="001C6A23" w:rsidP="00414B22">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highlight w:val="yellow"/>
              </w:rPr>
            </w:pPr>
            <w:r w:rsidRPr="00683078">
              <w:rPr>
                <w:rFonts w:asciiTheme="majorHAnsi" w:hAnsiTheme="majorHAnsi" w:cstheme="majorHAnsi"/>
                <w:color w:val="auto"/>
                <w:sz w:val="20"/>
                <w:szCs w:val="20"/>
              </w:rPr>
              <w:t>For each of the identified aspects in Sections 6 and 7, Santos ha</w:t>
            </w:r>
            <w:r w:rsidR="000E42D6" w:rsidRPr="00683078">
              <w:rPr>
                <w:rFonts w:asciiTheme="majorHAnsi" w:hAnsiTheme="majorHAnsi" w:cstheme="majorHAnsi"/>
                <w:color w:val="auto"/>
                <w:sz w:val="20"/>
                <w:szCs w:val="20"/>
              </w:rPr>
              <w:t>s</w:t>
            </w:r>
            <w:r w:rsidRPr="00683078">
              <w:rPr>
                <w:rFonts w:asciiTheme="majorHAnsi" w:hAnsiTheme="majorHAnsi" w:cstheme="majorHAnsi"/>
                <w:color w:val="auto"/>
                <w:sz w:val="20"/>
                <w:szCs w:val="20"/>
              </w:rPr>
              <w:t xml:space="preserve"> considered whether the associated risks and impacts are consistent with the principles of ESD.  No changes have been made to the EP regarding this matter.</w:t>
            </w:r>
          </w:p>
        </w:tc>
      </w:tr>
      <w:tr w:rsidR="001C6A23" w:rsidRPr="00745544" w14:paraId="11F19C83" w14:textId="25519383" w:rsidTr="00BD40E0">
        <w:trPr>
          <w:trHeight w:val="412"/>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26A93345" w14:textId="77CE058A" w:rsidR="001C6A23" w:rsidRPr="0039211F" w:rsidRDefault="001C6A23" w:rsidP="00D153F4">
            <w:pPr>
              <w:spacing w:before="120"/>
              <w:rPr>
                <w:rFonts w:asciiTheme="majorHAnsi" w:hAnsiTheme="majorHAnsi" w:cstheme="majorHAnsi"/>
                <w:sz w:val="20"/>
                <w:szCs w:val="20"/>
              </w:rPr>
            </w:pPr>
            <w:r w:rsidRPr="0039211F">
              <w:rPr>
                <w:rFonts w:asciiTheme="majorHAnsi" w:hAnsiTheme="majorHAnsi" w:cstheme="majorHAnsi"/>
                <w:sz w:val="20"/>
                <w:szCs w:val="20"/>
              </w:rPr>
              <w:t>4</w:t>
            </w:r>
          </w:p>
        </w:tc>
        <w:tc>
          <w:tcPr>
            <w:tcW w:w="1941" w:type="pct"/>
            <w:shd w:val="clear" w:color="auto" w:fill="auto"/>
          </w:tcPr>
          <w:p w14:paraId="69422B17" w14:textId="42A05714" w:rsidR="001C6A23" w:rsidRPr="00683078" w:rsidRDefault="001C6A23" w:rsidP="00D153F4">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b/>
                <w:bCs/>
                <w:i/>
                <w:color w:val="auto"/>
                <w:sz w:val="20"/>
                <w:szCs w:val="20"/>
              </w:rPr>
              <w:t>Matter:</w:t>
            </w:r>
            <w:r w:rsidRPr="00683078">
              <w:rPr>
                <w:rFonts w:asciiTheme="majorHAnsi" w:hAnsiTheme="majorHAnsi" w:cstheme="majorHAnsi"/>
                <w:color w:val="auto"/>
                <w:sz w:val="20"/>
                <w:szCs w:val="20"/>
              </w:rPr>
              <w:t xml:space="preserve"> </w:t>
            </w:r>
            <w:r w:rsidR="000641F5" w:rsidRPr="000641F5">
              <w:rPr>
                <w:rFonts w:asciiTheme="majorHAnsi" w:hAnsiTheme="majorHAnsi" w:cstheme="majorHAnsi"/>
                <w:i/>
                <w:iCs/>
                <w:sz w:val="20"/>
                <w:szCs w:val="20"/>
              </w:rPr>
              <w:t>The titleholder has not included explicitly required content in the activity Description section of EP, in accordance with NOPSEMA policy</w:t>
            </w:r>
          </w:p>
          <w:p w14:paraId="3944370F" w14:textId="77777777" w:rsidR="00BD40E0" w:rsidRPr="00683078" w:rsidRDefault="00BD40E0" w:rsidP="00D153F4">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p>
          <w:p w14:paraId="3C4306F3" w14:textId="0414F471" w:rsidR="001C6A23" w:rsidRPr="00745544" w:rsidRDefault="001C6A23" w:rsidP="00BD40E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color w:val="auto"/>
                <w:sz w:val="20"/>
                <w:szCs w:val="20"/>
                <w:highlight w:val="yellow"/>
              </w:rPr>
            </w:pPr>
            <w:r w:rsidRPr="00683078">
              <w:rPr>
                <w:rFonts w:asciiTheme="majorHAnsi" w:hAnsiTheme="majorHAnsi" w:cstheme="majorHAnsi"/>
                <w:b/>
                <w:bCs/>
                <w:i/>
                <w:color w:val="auto"/>
                <w:sz w:val="20"/>
                <w:szCs w:val="20"/>
              </w:rPr>
              <w:t xml:space="preserve">Claim: </w:t>
            </w:r>
            <w:r w:rsidR="003F2A2C" w:rsidRPr="003F2A2C">
              <w:rPr>
                <w:rFonts w:asciiTheme="majorHAnsi" w:hAnsiTheme="majorHAnsi" w:cstheme="majorHAnsi"/>
                <w:sz w:val="20"/>
                <w:szCs w:val="20"/>
              </w:rPr>
              <w:t>The titleholder has not disclosed information about the projected future of the oil field in the EP, as explicitly required by NOPSEMA’s policy guidelines</w:t>
            </w:r>
            <w:r w:rsidRPr="00683078">
              <w:rPr>
                <w:rFonts w:asciiTheme="majorHAnsi" w:hAnsiTheme="majorHAnsi" w:cstheme="majorHAnsi"/>
                <w:sz w:val="20"/>
                <w:szCs w:val="20"/>
              </w:rPr>
              <w:t>.</w:t>
            </w:r>
          </w:p>
        </w:tc>
        <w:tc>
          <w:tcPr>
            <w:tcW w:w="2831" w:type="pct"/>
            <w:shd w:val="clear" w:color="auto" w:fill="auto"/>
          </w:tcPr>
          <w:p w14:paraId="35EEC7D4" w14:textId="704308C8" w:rsidR="001C6A23" w:rsidRPr="00280CAA" w:rsidRDefault="001C6A23" w:rsidP="000D6E98">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683078">
              <w:rPr>
                <w:rFonts w:asciiTheme="majorHAnsi" w:hAnsiTheme="majorHAnsi" w:cstheme="majorHAnsi"/>
                <w:color w:val="auto"/>
                <w:sz w:val="20"/>
                <w:szCs w:val="20"/>
              </w:rPr>
              <w:t xml:space="preserve">Santos understands the requirements of Environment plan content requirement guidance note (2020) and submits that the activity </w:t>
            </w:r>
            <w:r w:rsidRPr="00280CAA">
              <w:rPr>
                <w:rFonts w:asciiTheme="majorHAnsi" w:hAnsiTheme="majorHAnsi" w:cstheme="majorHAnsi"/>
                <w:color w:val="auto"/>
                <w:sz w:val="20"/>
                <w:szCs w:val="20"/>
              </w:rPr>
              <w:t>description is adequately</w:t>
            </w:r>
            <w:r w:rsidR="001621D8" w:rsidRPr="00280CAA">
              <w:rPr>
                <w:rFonts w:asciiTheme="majorHAnsi" w:hAnsiTheme="majorHAnsi" w:cstheme="majorHAnsi"/>
                <w:color w:val="auto"/>
                <w:sz w:val="20"/>
                <w:szCs w:val="20"/>
              </w:rPr>
              <w:t xml:space="preserve"> and appropriately</w:t>
            </w:r>
            <w:r w:rsidRPr="00280CAA">
              <w:rPr>
                <w:rFonts w:asciiTheme="majorHAnsi" w:hAnsiTheme="majorHAnsi" w:cstheme="majorHAnsi"/>
                <w:color w:val="auto"/>
                <w:sz w:val="20"/>
                <w:szCs w:val="20"/>
              </w:rPr>
              <w:t xml:space="preserve"> described </w:t>
            </w:r>
            <w:r w:rsidR="001621D8" w:rsidRPr="00280CAA">
              <w:rPr>
                <w:rFonts w:asciiTheme="majorHAnsi" w:hAnsiTheme="majorHAnsi" w:cstheme="majorHAnsi"/>
                <w:color w:val="auto"/>
                <w:sz w:val="20"/>
                <w:szCs w:val="20"/>
              </w:rPr>
              <w:t>(the drilling of exploration</w:t>
            </w:r>
            <w:r w:rsidR="00683078" w:rsidRPr="00280CAA">
              <w:rPr>
                <w:rFonts w:asciiTheme="majorHAnsi" w:hAnsiTheme="majorHAnsi" w:cstheme="majorHAnsi"/>
                <w:color w:val="auto"/>
                <w:sz w:val="20"/>
                <w:szCs w:val="20"/>
              </w:rPr>
              <w:t xml:space="preserve"> and</w:t>
            </w:r>
            <w:r w:rsidR="003F2A2C">
              <w:rPr>
                <w:rFonts w:asciiTheme="majorHAnsi" w:hAnsiTheme="majorHAnsi" w:cstheme="majorHAnsi"/>
                <w:color w:val="auto"/>
                <w:sz w:val="20"/>
                <w:szCs w:val="20"/>
              </w:rPr>
              <w:t>/or</w:t>
            </w:r>
            <w:r w:rsidR="00683078" w:rsidRPr="00280CAA">
              <w:rPr>
                <w:rFonts w:asciiTheme="majorHAnsi" w:hAnsiTheme="majorHAnsi" w:cstheme="majorHAnsi"/>
                <w:color w:val="auto"/>
                <w:sz w:val="20"/>
                <w:szCs w:val="20"/>
              </w:rPr>
              <w:t xml:space="preserve"> appraisal</w:t>
            </w:r>
            <w:r w:rsidR="001621D8" w:rsidRPr="00280CAA">
              <w:rPr>
                <w:rFonts w:asciiTheme="majorHAnsi" w:hAnsiTheme="majorHAnsi" w:cstheme="majorHAnsi"/>
                <w:color w:val="auto"/>
                <w:sz w:val="20"/>
                <w:szCs w:val="20"/>
              </w:rPr>
              <w:t xml:space="preserve"> well</w:t>
            </w:r>
            <w:r w:rsidR="00683078" w:rsidRPr="00280CAA">
              <w:rPr>
                <w:rFonts w:asciiTheme="majorHAnsi" w:hAnsiTheme="majorHAnsi" w:cstheme="majorHAnsi"/>
                <w:color w:val="auto"/>
                <w:sz w:val="20"/>
                <w:szCs w:val="20"/>
              </w:rPr>
              <w:t>s</w:t>
            </w:r>
            <w:r w:rsidR="001621D8" w:rsidRPr="00280CAA">
              <w:rPr>
                <w:rFonts w:asciiTheme="majorHAnsi" w:hAnsiTheme="majorHAnsi" w:cstheme="majorHAnsi"/>
                <w:color w:val="auto"/>
                <w:sz w:val="20"/>
                <w:szCs w:val="20"/>
              </w:rPr>
              <w:t xml:space="preserve">) </w:t>
            </w:r>
            <w:r w:rsidRPr="00280CAA">
              <w:rPr>
                <w:rFonts w:asciiTheme="majorHAnsi" w:hAnsiTheme="majorHAnsi" w:cstheme="majorHAnsi"/>
                <w:color w:val="auto"/>
                <w:sz w:val="20"/>
                <w:szCs w:val="20"/>
              </w:rPr>
              <w:t>for the petroleum activity to be assessed</w:t>
            </w:r>
            <w:r w:rsidR="001621D8" w:rsidRPr="00280CAA">
              <w:rPr>
                <w:rFonts w:asciiTheme="majorHAnsi" w:hAnsiTheme="majorHAnsi" w:cstheme="majorHAnsi"/>
                <w:color w:val="auto"/>
                <w:sz w:val="20"/>
                <w:szCs w:val="20"/>
              </w:rPr>
              <w:t>.</w:t>
            </w:r>
          </w:p>
          <w:p w14:paraId="6E863DE4" w14:textId="6D2E6322" w:rsidR="000C4BA1" w:rsidRPr="00280CAA" w:rsidRDefault="000C4BA1" w:rsidP="000C4BA1">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80CAA">
              <w:rPr>
                <w:rFonts w:asciiTheme="majorHAnsi" w:hAnsiTheme="majorHAnsi" w:cstheme="majorHAnsi"/>
                <w:color w:val="auto"/>
                <w:sz w:val="20"/>
                <w:szCs w:val="20"/>
              </w:rPr>
              <w:t xml:space="preserve">Santos is unable to provide a detailed description of the “projected future of the oil field” until exploration is undertaken. Assessment of projected future of the oil field would be information provided in any future EPs for development drilling and/or operations, if any field discovered was assessed as being commercially viable. </w:t>
            </w:r>
          </w:p>
          <w:p w14:paraId="726E70FD" w14:textId="0221E81B" w:rsidR="0075016C" w:rsidRPr="00280CAA" w:rsidRDefault="000C4BA1" w:rsidP="000C4BA1">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highlight w:val="yellow"/>
              </w:rPr>
            </w:pPr>
            <w:r w:rsidRPr="00280CAA">
              <w:rPr>
                <w:rFonts w:asciiTheme="majorHAnsi" w:hAnsiTheme="majorHAnsi" w:cstheme="majorHAnsi"/>
                <w:color w:val="auto"/>
                <w:sz w:val="20"/>
                <w:szCs w:val="20"/>
              </w:rPr>
              <w:t>No changes have been made to Section 2 or elsewhere within the EP regarding this matter.</w:t>
            </w:r>
          </w:p>
        </w:tc>
      </w:tr>
      <w:tr w:rsidR="0087173A" w:rsidRPr="00745544" w14:paraId="5492764D" w14:textId="77777777" w:rsidTr="00784EBA">
        <w:trPr>
          <w:cnfStyle w:val="000000010000" w:firstRow="0" w:lastRow="0" w:firstColumn="0" w:lastColumn="0" w:oddVBand="0" w:evenVBand="0" w:oddHBand="0" w:evenHBand="1"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1F590C0B" w14:textId="71626578" w:rsidR="0087173A" w:rsidRPr="0039211F" w:rsidRDefault="0087173A" w:rsidP="0087173A">
            <w:pPr>
              <w:rPr>
                <w:rFonts w:asciiTheme="majorHAnsi" w:hAnsiTheme="majorHAnsi" w:cstheme="majorHAnsi"/>
                <w:sz w:val="20"/>
                <w:szCs w:val="20"/>
              </w:rPr>
            </w:pPr>
            <w:r>
              <w:rPr>
                <w:rFonts w:asciiTheme="majorHAnsi" w:hAnsiTheme="majorHAnsi" w:cstheme="majorHAnsi"/>
                <w:sz w:val="20"/>
                <w:szCs w:val="20"/>
              </w:rPr>
              <w:t>5</w:t>
            </w:r>
          </w:p>
        </w:tc>
        <w:tc>
          <w:tcPr>
            <w:tcW w:w="1941" w:type="pct"/>
            <w:shd w:val="clear" w:color="auto" w:fill="auto"/>
          </w:tcPr>
          <w:p w14:paraId="2DC8582E" w14:textId="77777777" w:rsidR="0087173A" w:rsidRDefault="0087173A" w:rsidP="0087173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auto"/>
                <w:sz w:val="20"/>
                <w:szCs w:val="20"/>
              </w:rPr>
            </w:pPr>
            <w:r w:rsidRPr="00683078">
              <w:rPr>
                <w:rFonts w:asciiTheme="majorHAnsi" w:hAnsiTheme="majorHAnsi" w:cstheme="majorHAnsi"/>
                <w:b/>
                <w:bCs/>
                <w:i/>
                <w:color w:val="auto"/>
                <w:sz w:val="20"/>
                <w:szCs w:val="20"/>
              </w:rPr>
              <w:t>Matter</w:t>
            </w:r>
            <w:r w:rsidRPr="00683078">
              <w:rPr>
                <w:rFonts w:asciiTheme="majorHAnsi" w:hAnsiTheme="majorHAnsi" w:cstheme="majorHAnsi"/>
                <w:i/>
                <w:color w:val="auto"/>
                <w:sz w:val="20"/>
                <w:szCs w:val="20"/>
              </w:rPr>
              <w:t xml:space="preserve">: </w:t>
            </w:r>
            <w:r w:rsidRPr="00F87274">
              <w:rPr>
                <w:rFonts w:asciiTheme="majorHAnsi" w:hAnsiTheme="majorHAnsi" w:cstheme="majorHAnsi"/>
                <w:i/>
                <w:color w:val="auto"/>
                <w:sz w:val="20"/>
                <w:szCs w:val="20"/>
              </w:rPr>
              <w:t>OPEP does not include content explicitly required to address specific risks involved with a multiple campaign drilling program, in accordance with OPGGS Regulations and NOPSEMA Policy</w:t>
            </w:r>
            <w:r>
              <w:rPr>
                <w:rFonts w:asciiTheme="majorHAnsi" w:hAnsiTheme="majorHAnsi" w:cstheme="majorHAnsi"/>
                <w:i/>
                <w:color w:val="auto"/>
                <w:sz w:val="20"/>
                <w:szCs w:val="20"/>
              </w:rPr>
              <w:t>.</w:t>
            </w:r>
          </w:p>
          <w:p w14:paraId="79EBB92B" w14:textId="77777777" w:rsidR="0087173A" w:rsidRPr="00683078" w:rsidRDefault="0087173A" w:rsidP="0087173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auto"/>
                <w:sz w:val="20"/>
                <w:szCs w:val="20"/>
              </w:rPr>
            </w:pPr>
          </w:p>
          <w:p w14:paraId="362FB94B" w14:textId="632BAC5E" w:rsidR="0087173A" w:rsidRPr="00745544" w:rsidRDefault="0087173A" w:rsidP="0087173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i/>
                <w:color w:val="auto"/>
                <w:sz w:val="20"/>
                <w:szCs w:val="20"/>
                <w:highlight w:val="yellow"/>
              </w:rPr>
            </w:pPr>
            <w:r w:rsidRPr="00683078">
              <w:rPr>
                <w:rFonts w:asciiTheme="majorHAnsi" w:hAnsiTheme="majorHAnsi" w:cstheme="majorHAnsi"/>
                <w:b/>
                <w:bCs/>
                <w:i/>
                <w:color w:val="auto"/>
                <w:sz w:val="20"/>
                <w:szCs w:val="20"/>
              </w:rPr>
              <w:t>Claim</w:t>
            </w:r>
            <w:r w:rsidRPr="00683078">
              <w:rPr>
                <w:rFonts w:asciiTheme="majorHAnsi" w:hAnsiTheme="majorHAnsi" w:cstheme="majorHAnsi"/>
                <w:i/>
                <w:color w:val="auto"/>
                <w:sz w:val="20"/>
                <w:szCs w:val="20"/>
              </w:rPr>
              <w:t xml:space="preserve">: </w:t>
            </w:r>
            <w:r w:rsidRPr="000C1347">
              <w:rPr>
                <w:rFonts w:asciiTheme="majorHAnsi" w:hAnsiTheme="majorHAnsi" w:cstheme="majorHAnsi"/>
                <w:iCs/>
                <w:color w:val="auto"/>
                <w:sz w:val="20"/>
                <w:szCs w:val="20"/>
              </w:rPr>
              <w:t>That the Proponent has not demonstrated that the proposed management measures are sufficient for reducing the increased environmental risks associated with multiple campaign drilling and the titleholder has failed to include any source control plans for the proposal in the EP.</w:t>
            </w:r>
          </w:p>
        </w:tc>
        <w:tc>
          <w:tcPr>
            <w:tcW w:w="2831" w:type="pct"/>
            <w:shd w:val="clear" w:color="auto" w:fill="auto"/>
          </w:tcPr>
          <w:p w14:paraId="643B96C2" w14:textId="7ADF91FC" w:rsidR="00373FDB" w:rsidRDefault="00373FDB" w:rsidP="0087173A">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C53E02">
              <w:rPr>
                <w:rFonts w:asciiTheme="majorHAnsi" w:hAnsiTheme="majorHAnsi" w:cstheme="majorHAnsi"/>
                <w:color w:val="auto"/>
                <w:sz w:val="20"/>
                <w:szCs w:val="20"/>
              </w:rPr>
              <w:t xml:space="preserve">Santos notes that </w:t>
            </w:r>
            <w:r w:rsidR="00C53E02" w:rsidRPr="00C53E02">
              <w:rPr>
                <w:rFonts w:asciiTheme="majorHAnsi" w:hAnsiTheme="majorHAnsi" w:cstheme="majorHAnsi"/>
                <w:color w:val="auto"/>
                <w:sz w:val="20"/>
                <w:szCs w:val="20"/>
              </w:rPr>
              <w:t xml:space="preserve">the EP describes the activities as a multi-well campaign whereby the wells are not drilled concurrently, but sequentially across the life of the EP.  </w:t>
            </w:r>
          </w:p>
          <w:p w14:paraId="269AEE9E" w14:textId="0A1BB6AC" w:rsidR="0087173A" w:rsidRDefault="0087173A" w:rsidP="0087173A">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 xml:space="preserve">The EP has been written in accordance with the </w:t>
            </w:r>
            <w:r w:rsidRPr="003C7107">
              <w:rPr>
                <w:rFonts w:asciiTheme="majorHAnsi" w:hAnsiTheme="majorHAnsi" w:cstheme="majorHAnsi"/>
                <w:color w:val="auto"/>
                <w:sz w:val="20"/>
                <w:szCs w:val="20"/>
              </w:rPr>
              <w:t>OPGGS Environmental Regulations</w:t>
            </w:r>
            <w:r>
              <w:rPr>
                <w:rFonts w:asciiTheme="majorHAnsi" w:hAnsiTheme="majorHAnsi" w:cstheme="majorHAnsi"/>
                <w:color w:val="auto"/>
                <w:sz w:val="20"/>
                <w:szCs w:val="20"/>
              </w:rPr>
              <w:t xml:space="preserve"> and NOPSEMA guidance publications on the required content and therefore </w:t>
            </w:r>
            <w:r w:rsidRPr="0087173A">
              <w:rPr>
                <w:rFonts w:asciiTheme="majorHAnsi" w:hAnsiTheme="majorHAnsi" w:cstheme="majorHAnsi"/>
                <w:color w:val="auto"/>
                <w:sz w:val="20"/>
                <w:szCs w:val="20"/>
              </w:rPr>
              <w:t xml:space="preserve">the EP addresses the environmental impacts and risks of a loss of well control event.  The EP is not required to assess the well integrity aspects of a loss of well control event and consequently has no requirements that need to be met with regard to Section 5 of the OPGGS(RMA) Regs.  These relate specifically to Well Operations Management Plans and are not relevant to Environment Plans.  </w:t>
            </w:r>
          </w:p>
          <w:p w14:paraId="2E43AF5D" w14:textId="77777777" w:rsidR="0087173A" w:rsidRDefault="0087173A" w:rsidP="0087173A">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p>
          <w:p w14:paraId="20C0F778" w14:textId="1CA1094F" w:rsidR="0087173A" w:rsidRDefault="0087173A" w:rsidP="0087173A">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 xml:space="preserve">The WOMPs, which are also assessed by NOPSEMA, </w:t>
            </w:r>
            <w:r w:rsidRPr="003C7107">
              <w:rPr>
                <w:rFonts w:asciiTheme="majorHAnsi" w:hAnsiTheme="majorHAnsi" w:cstheme="majorHAnsi"/>
                <w:color w:val="auto"/>
                <w:sz w:val="20"/>
                <w:szCs w:val="20"/>
              </w:rPr>
              <w:t>provide a description of the measures and arrangements that will be used to regain control of the well if there is a loss of integrity</w:t>
            </w:r>
            <w:r>
              <w:rPr>
                <w:rFonts w:asciiTheme="majorHAnsi" w:hAnsiTheme="majorHAnsi" w:cstheme="majorHAnsi"/>
                <w:color w:val="auto"/>
                <w:sz w:val="20"/>
                <w:szCs w:val="20"/>
              </w:rPr>
              <w:t xml:space="preserve">.  </w:t>
            </w:r>
            <w:r w:rsidRPr="0087173A">
              <w:rPr>
                <w:rFonts w:asciiTheme="majorHAnsi" w:hAnsiTheme="majorHAnsi" w:cstheme="majorHAnsi"/>
                <w:color w:val="auto"/>
                <w:sz w:val="20"/>
                <w:szCs w:val="20"/>
              </w:rPr>
              <w:t>This includes details on source control planning.  For any well drilled under this EP, the Source Control Plan is encompassed by that well’s Well Operations Management Plan, not the EP</w:t>
            </w:r>
          </w:p>
          <w:p w14:paraId="25E288CB" w14:textId="77777777" w:rsidR="0087173A" w:rsidRDefault="0087173A" w:rsidP="0087173A">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lastRenderedPageBreak/>
              <w:t>The EP therefore provides a high-level description of the function of the source control plan as it is implemented via the OPEP, and how this relates to a reduction in environmental impacts.</w:t>
            </w:r>
          </w:p>
          <w:p w14:paraId="5FE44E08" w14:textId="7EA6912F" w:rsidR="0087173A" w:rsidRPr="00745544" w:rsidRDefault="0087173A" w:rsidP="0087173A">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highlight w:val="yellow"/>
              </w:rPr>
            </w:pPr>
            <w:r w:rsidRPr="00683078">
              <w:rPr>
                <w:rFonts w:asciiTheme="majorHAnsi" w:hAnsiTheme="majorHAnsi" w:cstheme="majorHAnsi"/>
                <w:color w:val="auto"/>
                <w:sz w:val="20"/>
                <w:szCs w:val="20"/>
              </w:rPr>
              <w:t>No changes have been made to the EP regarding this matter.</w:t>
            </w:r>
          </w:p>
        </w:tc>
      </w:tr>
      <w:tr w:rsidR="0087173A" w:rsidRPr="00745544" w14:paraId="5C26AD15" w14:textId="77777777" w:rsidTr="00BD40E0">
        <w:trPr>
          <w:trHeight w:val="412"/>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6C96315F" w14:textId="6D40F5AA" w:rsidR="0087173A" w:rsidRDefault="0087173A" w:rsidP="0087173A">
            <w:pPr>
              <w:rPr>
                <w:rFonts w:asciiTheme="majorHAnsi" w:hAnsiTheme="majorHAnsi" w:cstheme="majorHAnsi"/>
                <w:sz w:val="20"/>
                <w:szCs w:val="20"/>
              </w:rPr>
            </w:pPr>
            <w:r>
              <w:rPr>
                <w:rFonts w:asciiTheme="majorHAnsi" w:hAnsiTheme="majorHAnsi" w:cstheme="majorHAnsi"/>
                <w:sz w:val="20"/>
                <w:szCs w:val="20"/>
              </w:rPr>
              <w:lastRenderedPageBreak/>
              <w:t>6</w:t>
            </w:r>
          </w:p>
        </w:tc>
        <w:tc>
          <w:tcPr>
            <w:tcW w:w="1941" w:type="pct"/>
            <w:shd w:val="clear" w:color="auto" w:fill="auto"/>
          </w:tcPr>
          <w:p w14:paraId="4C434712" w14:textId="77777777" w:rsidR="0087173A" w:rsidRDefault="0087173A" w:rsidP="0087173A">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auto"/>
                <w:sz w:val="20"/>
                <w:szCs w:val="20"/>
              </w:rPr>
            </w:pPr>
            <w:r w:rsidRPr="00784EBA">
              <w:rPr>
                <w:rFonts w:asciiTheme="majorHAnsi" w:hAnsiTheme="majorHAnsi" w:cstheme="majorHAnsi"/>
                <w:b/>
                <w:bCs/>
                <w:i/>
                <w:color w:val="auto"/>
                <w:sz w:val="20"/>
                <w:szCs w:val="20"/>
              </w:rPr>
              <w:t>Matter:</w:t>
            </w:r>
            <w:r w:rsidRPr="00784EBA">
              <w:rPr>
                <w:rFonts w:asciiTheme="majorHAnsi" w:hAnsiTheme="majorHAnsi" w:cstheme="majorHAnsi"/>
                <w:i/>
                <w:color w:val="auto"/>
                <w:sz w:val="20"/>
                <w:szCs w:val="20"/>
              </w:rPr>
              <w:t xml:space="preserve"> </w:t>
            </w:r>
            <w:r w:rsidRPr="004D4C84">
              <w:rPr>
                <w:rFonts w:asciiTheme="majorHAnsi" w:hAnsiTheme="majorHAnsi" w:cstheme="majorHAnsi"/>
                <w:i/>
                <w:color w:val="auto"/>
                <w:sz w:val="20"/>
                <w:szCs w:val="20"/>
              </w:rPr>
              <w:t>The titleholder has not provided sufficient baseline information in relation to ecological values of the nearby Bedout Island, nor demonstrated technical confidence that the risk to those values has been reduced to ALARP in the event of a loss of well control</w:t>
            </w:r>
          </w:p>
          <w:p w14:paraId="4C0A4F36" w14:textId="77777777" w:rsidR="0087173A" w:rsidRPr="00784EBA" w:rsidRDefault="0087173A" w:rsidP="0087173A">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auto"/>
                <w:sz w:val="20"/>
                <w:szCs w:val="20"/>
              </w:rPr>
            </w:pPr>
          </w:p>
          <w:p w14:paraId="428DA402" w14:textId="77777777" w:rsidR="0087173A" w:rsidRPr="000C1347" w:rsidRDefault="0087173A" w:rsidP="0087173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84EBA">
              <w:rPr>
                <w:rFonts w:asciiTheme="majorHAnsi" w:hAnsiTheme="majorHAnsi" w:cstheme="majorHAnsi"/>
                <w:b/>
                <w:bCs/>
                <w:i/>
                <w:color w:val="auto"/>
                <w:sz w:val="20"/>
                <w:szCs w:val="20"/>
              </w:rPr>
              <w:t>Claim:</w:t>
            </w:r>
            <w:r w:rsidRPr="00784EBA">
              <w:rPr>
                <w:rFonts w:asciiTheme="majorHAnsi" w:hAnsiTheme="majorHAnsi" w:cstheme="majorHAnsi"/>
                <w:b/>
                <w:bCs/>
                <w:color w:val="auto"/>
                <w:sz w:val="20"/>
                <w:szCs w:val="20"/>
              </w:rPr>
              <w:t xml:space="preserve"> </w:t>
            </w:r>
            <w:r w:rsidRPr="000C1347">
              <w:rPr>
                <w:rFonts w:asciiTheme="majorHAnsi" w:hAnsiTheme="majorHAnsi" w:cstheme="majorHAnsi"/>
                <w:sz w:val="20"/>
                <w:szCs w:val="20"/>
              </w:rPr>
              <w:t xml:space="preserve">The </w:t>
            </w:r>
            <w:r w:rsidRPr="00373FDB">
              <w:rPr>
                <w:rFonts w:asciiTheme="majorHAnsi" w:hAnsiTheme="majorHAnsi" w:cstheme="majorHAnsi"/>
                <w:sz w:val="20"/>
                <w:szCs w:val="20"/>
                <w:u w:val="single"/>
              </w:rPr>
              <w:t>assessment of acceptability</w:t>
            </w:r>
            <w:r w:rsidRPr="000C1347">
              <w:rPr>
                <w:rFonts w:asciiTheme="majorHAnsi" w:hAnsiTheme="majorHAnsi" w:cstheme="majorHAnsi"/>
                <w:sz w:val="20"/>
                <w:szCs w:val="20"/>
              </w:rPr>
              <w:t xml:space="preserve"> lacks any precision whatsoever and is assumed to apply to all identified ecological values across the NWMR.</w:t>
            </w:r>
          </w:p>
          <w:p w14:paraId="4ED9AEF3" w14:textId="77777777" w:rsidR="0087173A" w:rsidRPr="000C1347" w:rsidRDefault="0087173A" w:rsidP="0087173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0199265" w14:textId="77777777" w:rsidR="0087173A" w:rsidRPr="000C1347" w:rsidRDefault="0087173A" w:rsidP="0087173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C1347">
              <w:rPr>
                <w:rFonts w:asciiTheme="majorHAnsi" w:hAnsiTheme="majorHAnsi" w:cstheme="majorHAnsi"/>
                <w:sz w:val="20"/>
                <w:szCs w:val="20"/>
              </w:rPr>
              <w:t xml:space="preserve">That the Proponent has not ‘thoroughly assessed’ what </w:t>
            </w:r>
            <w:r w:rsidRPr="00373FDB">
              <w:rPr>
                <w:rFonts w:asciiTheme="majorHAnsi" w:hAnsiTheme="majorHAnsi" w:cstheme="majorHAnsi"/>
                <w:sz w:val="20"/>
                <w:szCs w:val="20"/>
                <w:u w:val="single"/>
              </w:rPr>
              <w:t>baseline information</w:t>
            </w:r>
            <w:r w:rsidRPr="000C1347">
              <w:rPr>
                <w:rFonts w:asciiTheme="majorHAnsi" w:hAnsiTheme="majorHAnsi" w:cstheme="majorHAnsi"/>
                <w:sz w:val="20"/>
                <w:szCs w:val="20"/>
              </w:rPr>
              <w:t xml:space="preserve"> is required commensurate with the level of risk associated with the proposed activities and to ensure that all impacts on these values can be fully remediated.  </w:t>
            </w:r>
          </w:p>
          <w:p w14:paraId="4011F8AB" w14:textId="77777777" w:rsidR="0087173A" w:rsidRPr="000C1347" w:rsidRDefault="0087173A" w:rsidP="0087173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8F10943" w14:textId="0C7D9902" w:rsidR="0087173A" w:rsidRDefault="0087173A" w:rsidP="0087173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color w:val="auto"/>
                <w:sz w:val="20"/>
                <w:szCs w:val="20"/>
                <w:highlight w:val="yellow"/>
              </w:rPr>
            </w:pPr>
            <w:r w:rsidRPr="000C1347">
              <w:rPr>
                <w:rFonts w:asciiTheme="majorHAnsi" w:hAnsiTheme="majorHAnsi" w:cstheme="majorHAnsi"/>
                <w:color w:val="auto"/>
                <w:sz w:val="20"/>
                <w:szCs w:val="20"/>
              </w:rPr>
              <w:t xml:space="preserve">Additionally, the </w:t>
            </w:r>
            <w:r w:rsidRPr="00373FDB">
              <w:rPr>
                <w:rFonts w:asciiTheme="majorHAnsi" w:hAnsiTheme="majorHAnsi" w:cstheme="majorHAnsi"/>
                <w:color w:val="auto"/>
                <w:sz w:val="20"/>
                <w:szCs w:val="20"/>
                <w:u w:val="single"/>
              </w:rPr>
              <w:t>proposed measures</w:t>
            </w:r>
            <w:r w:rsidRPr="000C1347">
              <w:rPr>
                <w:rFonts w:asciiTheme="majorHAnsi" w:hAnsiTheme="majorHAnsi" w:cstheme="majorHAnsi"/>
                <w:color w:val="auto"/>
                <w:sz w:val="20"/>
                <w:szCs w:val="20"/>
              </w:rPr>
              <w:t xml:space="preserve"> are not sufficiently detailed in the OPEP to demonstrate any technical confidence that the titleholder is in possession of sufficient baseline information</w:t>
            </w:r>
          </w:p>
        </w:tc>
        <w:tc>
          <w:tcPr>
            <w:tcW w:w="2831" w:type="pct"/>
            <w:shd w:val="clear" w:color="auto" w:fill="auto"/>
          </w:tcPr>
          <w:p w14:paraId="658D4EF3"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u w:val="single"/>
              </w:rPr>
            </w:pPr>
          </w:p>
          <w:p w14:paraId="791AB7C9"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u w:val="single"/>
              </w:rPr>
            </w:pPr>
            <w:r>
              <w:rPr>
                <w:color w:val="auto"/>
                <w:sz w:val="20"/>
                <w:szCs w:val="20"/>
                <w:u w:val="single"/>
              </w:rPr>
              <w:t>A</w:t>
            </w:r>
            <w:r w:rsidRPr="000B0813">
              <w:rPr>
                <w:color w:val="auto"/>
                <w:sz w:val="20"/>
                <w:szCs w:val="20"/>
                <w:u w:val="single"/>
              </w:rPr>
              <w:t>ssessment of acceptability</w:t>
            </w:r>
          </w:p>
          <w:p w14:paraId="11098F5C" w14:textId="77777777" w:rsidR="0087173A" w:rsidRPr="009F181A" w:rsidRDefault="0087173A" w:rsidP="0087173A">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F181A">
              <w:rPr>
                <w:rFonts w:asciiTheme="majorHAnsi" w:hAnsiTheme="majorHAnsi" w:cstheme="majorHAnsi"/>
                <w:sz w:val="20"/>
                <w:szCs w:val="20"/>
              </w:rPr>
              <w:t>The EP describes how the modelling is used to identify the high environmental value (HEV) receptors contacted by surface, subsurface (entrained hydrocarbon and DAH’s), and shoreline accumulation</w:t>
            </w:r>
            <w:r>
              <w:rPr>
                <w:rFonts w:asciiTheme="majorHAnsi" w:hAnsiTheme="majorHAnsi" w:cstheme="majorHAnsi"/>
                <w:sz w:val="20"/>
                <w:szCs w:val="20"/>
              </w:rPr>
              <w:t xml:space="preserve"> </w:t>
            </w:r>
            <w:r>
              <w:rPr>
                <w:color w:val="auto"/>
                <w:sz w:val="20"/>
                <w:szCs w:val="20"/>
              </w:rPr>
              <w:t>(</w:t>
            </w:r>
            <w:r w:rsidRPr="00CB7E8F">
              <w:rPr>
                <w:color w:val="auto"/>
                <w:sz w:val="20"/>
                <w:szCs w:val="20"/>
                <w:u w:val="single"/>
              </w:rPr>
              <w:t>Section 7.5.5</w:t>
            </w:r>
            <w:r>
              <w:rPr>
                <w:color w:val="auto"/>
                <w:sz w:val="20"/>
                <w:szCs w:val="20"/>
              </w:rPr>
              <w:t>)</w:t>
            </w:r>
            <w:r w:rsidRPr="009F181A">
              <w:rPr>
                <w:rFonts w:asciiTheme="majorHAnsi" w:hAnsiTheme="majorHAnsi" w:cstheme="majorHAnsi"/>
                <w:sz w:val="20"/>
                <w:szCs w:val="20"/>
              </w:rPr>
              <w:t xml:space="preserve">. </w:t>
            </w:r>
          </w:p>
          <w:p w14:paraId="6756CA22"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7956115"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Bedout Island is identified as a high environmental value receptor (Value of 4 based on its ecological values) and a hotspot and priority protection area (based on the spill modelling).   To ensure that all the HEVs identified within the EMBA are assessed appropriately, a consequence assessment is conducted in line with the Santos risk assessment approach (detailed in Section 5) against all HEVs.  </w:t>
            </w:r>
          </w:p>
          <w:p w14:paraId="08BA173B"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619F98A"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This is provided in Appendix G2 and clearly shows the consequence assessment against all the HEVs, noting that Bedout Island is assessed as potential consequence of Moderate (III).  Within </w:t>
            </w:r>
            <w:r w:rsidRPr="009F181A">
              <w:rPr>
                <w:color w:val="auto"/>
                <w:sz w:val="20"/>
                <w:szCs w:val="20"/>
                <w:u w:val="single"/>
              </w:rPr>
              <w:t>Table 7-18</w:t>
            </w:r>
            <w:r>
              <w:rPr>
                <w:color w:val="auto"/>
                <w:sz w:val="20"/>
                <w:szCs w:val="20"/>
              </w:rPr>
              <w:t>, the overall worst case consequence is provided (IV – Major) against any one of the HEVs; the likelihood does not change as this relates to the event occurring as discussed above.</w:t>
            </w:r>
          </w:p>
          <w:p w14:paraId="0D870B70" w14:textId="77777777" w:rsidR="0087173A"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0CE752C" w14:textId="77777777" w:rsidR="0087173A" w:rsidRPr="000B0813" w:rsidRDefault="0087173A" w:rsidP="0087173A">
            <w:pPr>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No changes have been made to the EP or the likelihood or risk assessment outcomes</w:t>
            </w:r>
          </w:p>
          <w:p w14:paraId="4A93A950" w14:textId="77777777" w:rsidR="00373FDB" w:rsidRPr="0087173A" w:rsidRDefault="00373FDB" w:rsidP="00373FDB">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u w:val="single"/>
              </w:rPr>
            </w:pPr>
            <w:r w:rsidRPr="0087173A">
              <w:rPr>
                <w:rFonts w:asciiTheme="majorHAnsi" w:hAnsiTheme="majorHAnsi" w:cstheme="majorHAnsi"/>
                <w:color w:val="auto"/>
                <w:sz w:val="20"/>
                <w:szCs w:val="20"/>
                <w:u w:val="single"/>
              </w:rPr>
              <w:t xml:space="preserve">Baseline Information </w:t>
            </w:r>
          </w:p>
          <w:p w14:paraId="1CDE0B81" w14:textId="77777777" w:rsidR="00C53E02" w:rsidRDefault="00C53E02" w:rsidP="00C53E02">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7173A">
              <w:rPr>
                <w:rFonts w:asciiTheme="majorHAnsi" w:hAnsiTheme="majorHAnsi" w:cstheme="majorHAnsi"/>
                <w:color w:val="auto"/>
                <w:sz w:val="20"/>
                <w:szCs w:val="20"/>
              </w:rPr>
              <w:lastRenderedPageBreak/>
              <w:t>A recent review of the operational and scientific monitoring (OSM) baseline data by Santos in 2021 showed that recent surveys (2016 and 2017) conducted at Bedout Island by DBCA are rated as being of fair quality (in the context of application for OSM purposes)</w:t>
            </w:r>
            <w:r>
              <w:rPr>
                <w:rFonts w:asciiTheme="majorHAnsi" w:hAnsiTheme="majorHAnsi" w:cstheme="majorHAnsi"/>
                <w:color w:val="auto"/>
                <w:sz w:val="20"/>
                <w:szCs w:val="20"/>
              </w:rPr>
              <w:t>.</w:t>
            </w:r>
          </w:p>
          <w:p w14:paraId="1DD34079" w14:textId="61B07F16" w:rsidR="00373FDB" w:rsidRDefault="00C53E02" w:rsidP="00373FDB">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53E02">
              <w:rPr>
                <w:rFonts w:asciiTheme="majorHAnsi" w:hAnsiTheme="majorHAnsi" w:cstheme="majorHAnsi"/>
                <w:color w:val="auto"/>
                <w:sz w:val="20"/>
                <w:szCs w:val="20"/>
              </w:rPr>
              <w:t xml:space="preserve">Santos acknowledges </w:t>
            </w:r>
            <w:r>
              <w:rPr>
                <w:rFonts w:asciiTheme="majorHAnsi" w:hAnsiTheme="majorHAnsi" w:cstheme="majorHAnsi"/>
                <w:color w:val="auto"/>
                <w:sz w:val="20"/>
                <w:szCs w:val="20"/>
              </w:rPr>
              <w:t>the</w:t>
            </w:r>
            <w:r w:rsidRPr="00C53E02">
              <w:rPr>
                <w:rFonts w:asciiTheme="majorHAnsi" w:hAnsiTheme="majorHAnsi" w:cstheme="majorHAnsi"/>
                <w:color w:val="auto"/>
                <w:sz w:val="20"/>
                <w:szCs w:val="20"/>
              </w:rPr>
              <w:t xml:space="preserve"> concerns regarding baseline data for operational and scientific monitoring for Bedout Island and has updated the details within the Scientific Monitoring Capability Assessment in Appendix R of the OPEP to provide further information on the various methodologies available for collecting baseline data in the unlikely event of a major oil spill, which includes post-spill pre-impact scientific monitoring, use of reference sites, a gradient approach, and potential use of remote sensing data. The techniques selected will be appropriate to the receptor type</w:t>
            </w:r>
            <w:r w:rsidR="00373FDB">
              <w:rPr>
                <w:rFonts w:asciiTheme="majorHAnsi" w:hAnsiTheme="majorHAnsi" w:cstheme="majorHAnsi"/>
                <w:color w:val="auto"/>
                <w:sz w:val="20"/>
                <w:szCs w:val="20"/>
              </w:rPr>
              <w:t xml:space="preserve">.  </w:t>
            </w:r>
          </w:p>
          <w:p w14:paraId="0A0EC46A" w14:textId="77777777" w:rsidR="00484F82" w:rsidRDefault="00484F82" w:rsidP="00373FDB">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p w14:paraId="6EADFB7A" w14:textId="73D69493" w:rsidR="00373FDB" w:rsidRPr="0087173A" w:rsidRDefault="00373FDB" w:rsidP="00373FDB">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7173A">
              <w:rPr>
                <w:rFonts w:asciiTheme="majorHAnsi" w:hAnsiTheme="majorHAnsi" w:cstheme="majorHAnsi"/>
                <w:color w:val="auto"/>
                <w:sz w:val="20"/>
                <w:szCs w:val="20"/>
              </w:rPr>
              <w:t xml:space="preserve">The extent of ecological baseline data information gathering for OSM purposes is commensurate to activity risk profiles.  The worst-case MDO oil spill modelling releases indicate that out of a total of 450 modelled oil spill scenarios, less than 3% show shoreline contact with Bedout Island in less than the 72 hours required to mobilise OSM resources.  The equivalent figure for a loss of well control (LOWC) is 4%.  This shows that post-spill pre-impact monitoring can be conducted well within this time in 94% and 96% of modelled worst-case release scenarios for MDO and LOWC, respectively.  </w:t>
            </w:r>
          </w:p>
          <w:p w14:paraId="39362B99" w14:textId="77777777" w:rsidR="0087173A" w:rsidRPr="009F181A" w:rsidRDefault="0087173A" w:rsidP="0087173A">
            <w:pPr>
              <w:pStyle w:val="Default"/>
              <w:spacing w:before="120"/>
              <w:cnfStyle w:val="000000000000" w:firstRow="0" w:lastRow="0" w:firstColumn="0" w:lastColumn="0" w:oddVBand="0" w:evenVBand="0" w:oddHBand="0" w:evenHBand="0" w:firstRowFirstColumn="0" w:firstRowLastColumn="0" w:lastRowFirstColumn="0" w:lastRowLastColumn="0"/>
              <w:rPr>
                <w:sz w:val="20"/>
                <w:szCs w:val="20"/>
                <w:u w:val="single"/>
              </w:rPr>
            </w:pPr>
            <w:r w:rsidRPr="009F181A">
              <w:rPr>
                <w:sz w:val="20"/>
                <w:szCs w:val="20"/>
                <w:u w:val="single"/>
              </w:rPr>
              <w:t>Proposed control measures</w:t>
            </w:r>
          </w:p>
          <w:p w14:paraId="6E336332" w14:textId="0D6C0E76" w:rsidR="0087173A" w:rsidRDefault="0087173A" w:rsidP="0087173A">
            <w:pPr>
              <w:pStyle w:val="Default"/>
              <w:spacing w:before="120"/>
              <w:cnfStyle w:val="000000000000" w:firstRow="0" w:lastRow="0" w:firstColumn="0" w:lastColumn="0" w:oddVBand="0" w:evenVBand="0" w:oddHBand="0" w:evenHBand="0" w:firstRowFirstColumn="0" w:firstRowLastColumn="0" w:lastRowFirstColumn="0" w:lastRowLastColumn="0"/>
              <w:rPr>
                <w:sz w:val="20"/>
                <w:szCs w:val="20"/>
              </w:rPr>
            </w:pPr>
            <w:r w:rsidRPr="009F181A">
              <w:rPr>
                <w:sz w:val="20"/>
                <w:szCs w:val="20"/>
              </w:rPr>
              <w:t xml:space="preserve">A worst-case LOWC scenario is not a planned discharge; it is an unlikely accidental event given the control measures that are put in place to reduce the risk of LOWC.  These control measures are based on industry best practices.  The control measures in the EP and OPEP are commensurate with the level of risk associated with the Bedout Multi-well drilling project.  The OPEP also commits to the provision of well/campaign specific SCPs, which will be submitted as part of the WOMP(s), as detailed in response 5 above.  </w:t>
            </w:r>
          </w:p>
          <w:p w14:paraId="44717478" w14:textId="77777777" w:rsidR="0087173A" w:rsidRDefault="0087173A" w:rsidP="0087173A">
            <w:pPr>
              <w:pStyle w:val="Default"/>
              <w:spacing w:before="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changes have been made to the EP</w:t>
            </w:r>
          </w:p>
          <w:p w14:paraId="31FD4401" w14:textId="4B53027F" w:rsidR="0087173A" w:rsidRDefault="0087173A" w:rsidP="0087173A">
            <w:pPr>
              <w:pStyle w:val="Default"/>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highlight w:val="yellow"/>
              </w:rPr>
            </w:pPr>
          </w:p>
        </w:tc>
      </w:tr>
      <w:tr w:rsidR="00784EBA" w:rsidRPr="00745544" w14:paraId="644AFA9B" w14:textId="77777777" w:rsidTr="00BD40E0">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28" w:type="pct"/>
            <w:shd w:val="clear" w:color="auto" w:fill="auto"/>
          </w:tcPr>
          <w:p w14:paraId="511F079C" w14:textId="57CCD16F" w:rsidR="00784EBA" w:rsidRDefault="00784EBA" w:rsidP="00D153F4">
            <w:pPr>
              <w:rPr>
                <w:rFonts w:asciiTheme="majorHAnsi" w:hAnsiTheme="majorHAnsi" w:cstheme="majorHAnsi"/>
                <w:sz w:val="20"/>
                <w:szCs w:val="20"/>
              </w:rPr>
            </w:pPr>
            <w:r>
              <w:rPr>
                <w:rFonts w:asciiTheme="majorHAnsi" w:hAnsiTheme="majorHAnsi" w:cstheme="majorHAnsi"/>
                <w:sz w:val="20"/>
                <w:szCs w:val="20"/>
              </w:rPr>
              <w:lastRenderedPageBreak/>
              <w:t>7</w:t>
            </w:r>
          </w:p>
        </w:tc>
        <w:tc>
          <w:tcPr>
            <w:tcW w:w="1941" w:type="pct"/>
            <w:shd w:val="clear" w:color="auto" w:fill="auto"/>
          </w:tcPr>
          <w:p w14:paraId="1A7A3136" w14:textId="77777777" w:rsidR="00784EBA" w:rsidRDefault="00784EBA" w:rsidP="00784EB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auto"/>
                <w:sz w:val="20"/>
                <w:szCs w:val="20"/>
              </w:rPr>
            </w:pPr>
            <w:r>
              <w:rPr>
                <w:rFonts w:asciiTheme="majorHAnsi" w:hAnsiTheme="majorHAnsi" w:cstheme="majorHAnsi"/>
                <w:b/>
                <w:bCs/>
                <w:i/>
                <w:color w:val="auto"/>
                <w:sz w:val="20"/>
                <w:szCs w:val="20"/>
              </w:rPr>
              <w:t xml:space="preserve">Matter: </w:t>
            </w:r>
            <w:r>
              <w:rPr>
                <w:rFonts w:asciiTheme="majorHAnsi" w:hAnsiTheme="majorHAnsi" w:cstheme="majorHAnsi"/>
                <w:i/>
                <w:color w:val="auto"/>
                <w:sz w:val="20"/>
                <w:szCs w:val="20"/>
              </w:rPr>
              <w:t>Cumulative impacts of acoustic emissions on migratory species in the area has not been fully addressed</w:t>
            </w:r>
          </w:p>
          <w:p w14:paraId="1989C39D" w14:textId="77777777" w:rsidR="00784EBA" w:rsidRDefault="00784EBA" w:rsidP="00784EB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auto"/>
                <w:sz w:val="20"/>
                <w:szCs w:val="20"/>
              </w:rPr>
            </w:pPr>
          </w:p>
          <w:p w14:paraId="2E73CE81" w14:textId="2F151C37" w:rsidR="00784EBA" w:rsidRPr="00784EBA" w:rsidRDefault="00784EBA" w:rsidP="00784EB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auto"/>
                <w:sz w:val="20"/>
                <w:szCs w:val="20"/>
              </w:rPr>
            </w:pPr>
            <w:r>
              <w:rPr>
                <w:rFonts w:asciiTheme="majorHAnsi" w:hAnsiTheme="majorHAnsi" w:cstheme="majorHAnsi"/>
                <w:b/>
                <w:bCs/>
                <w:i/>
                <w:color w:val="auto"/>
                <w:sz w:val="20"/>
                <w:szCs w:val="20"/>
              </w:rPr>
              <w:lastRenderedPageBreak/>
              <w:t xml:space="preserve">Claim: </w:t>
            </w:r>
            <w:r>
              <w:rPr>
                <w:rFonts w:asciiTheme="majorHAnsi" w:hAnsiTheme="majorHAnsi" w:cstheme="majorHAnsi"/>
                <w:i/>
                <w:color w:val="auto"/>
                <w:sz w:val="20"/>
                <w:szCs w:val="20"/>
              </w:rPr>
              <w:t xml:space="preserve"> </w:t>
            </w:r>
            <w:r w:rsidR="009F5FA6">
              <w:rPr>
                <w:rFonts w:asciiTheme="majorHAnsi" w:hAnsiTheme="majorHAnsi" w:cstheme="majorHAnsi"/>
                <w:sz w:val="20"/>
                <w:szCs w:val="20"/>
              </w:rPr>
              <w:t>Th</w:t>
            </w:r>
            <w:r w:rsidR="009F5FA6" w:rsidRPr="009F5FA6">
              <w:rPr>
                <w:rFonts w:asciiTheme="majorHAnsi" w:hAnsiTheme="majorHAnsi" w:cstheme="majorHAnsi"/>
                <w:sz w:val="20"/>
                <w:szCs w:val="20"/>
              </w:rPr>
              <w:t>at the compounding effect of noise emissions from nearby oil and gas drilling pre-exist the proposed activities in the EP,</w:t>
            </w:r>
            <w:r w:rsidR="009F5FA6">
              <w:rPr>
                <w:rFonts w:asciiTheme="majorHAnsi" w:hAnsiTheme="majorHAnsi" w:cstheme="majorHAnsi"/>
                <w:sz w:val="20"/>
                <w:szCs w:val="20"/>
              </w:rPr>
              <w:t xml:space="preserve"> and the validity of the argument that cumulative effects from the activity are not expected is questionable and relies on outdated knowledge</w:t>
            </w:r>
          </w:p>
        </w:tc>
        <w:tc>
          <w:tcPr>
            <w:tcW w:w="2831" w:type="pct"/>
            <w:shd w:val="clear" w:color="auto" w:fill="auto"/>
          </w:tcPr>
          <w:p w14:paraId="4E7D74A7" w14:textId="6FE23403" w:rsidR="00784EBA" w:rsidRDefault="00877751" w:rsidP="000D6E98">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877751">
              <w:rPr>
                <w:rFonts w:asciiTheme="majorHAnsi" w:hAnsiTheme="majorHAnsi" w:cstheme="majorHAnsi"/>
                <w:color w:val="auto"/>
                <w:sz w:val="20"/>
                <w:szCs w:val="20"/>
              </w:rPr>
              <w:lastRenderedPageBreak/>
              <w:t xml:space="preserve">Santos notes that, as part of the activity, Vertical Seismic profiling (VSP) is planned. However, there will be no vessel-based seismic activities occurring and hence, that does not form part of the scope of the activity as outlined in Section 2 of the EP. VSP has a much shorter transmission pathway </w:t>
            </w:r>
            <w:r w:rsidRPr="00877751">
              <w:rPr>
                <w:rFonts w:asciiTheme="majorHAnsi" w:hAnsiTheme="majorHAnsi" w:cstheme="majorHAnsi"/>
                <w:color w:val="auto"/>
                <w:sz w:val="20"/>
                <w:szCs w:val="20"/>
              </w:rPr>
              <w:lastRenderedPageBreak/>
              <w:t>compared with seismic surveys and air guns, therefore VSP has a smaller total volume and impact on marine fauna compared with seismic surveys (Kent et al., 2016).</w:t>
            </w:r>
          </w:p>
          <w:p w14:paraId="53F23C3E" w14:textId="77777777" w:rsidR="00373FDB" w:rsidRDefault="00373FDB" w:rsidP="000D6E98">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p>
          <w:p w14:paraId="774B4F35" w14:textId="77777777" w:rsidR="004C3F57" w:rsidRPr="004C3F57" w:rsidRDefault="007F7A70" w:rsidP="004C3F57">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7F7A70">
              <w:rPr>
                <w:rFonts w:asciiTheme="majorHAnsi" w:hAnsiTheme="majorHAnsi" w:cstheme="majorHAnsi"/>
                <w:color w:val="auto"/>
                <w:sz w:val="20"/>
                <w:szCs w:val="20"/>
              </w:rPr>
              <w:t xml:space="preserve">Cumulative impacts will only occur where the effects of previous </w:t>
            </w:r>
            <w:r>
              <w:rPr>
                <w:rFonts w:asciiTheme="majorHAnsi" w:hAnsiTheme="majorHAnsi" w:cstheme="majorHAnsi"/>
                <w:color w:val="auto"/>
                <w:sz w:val="20"/>
                <w:szCs w:val="20"/>
              </w:rPr>
              <w:t>activities</w:t>
            </w:r>
            <w:r w:rsidRPr="007F7A70">
              <w:rPr>
                <w:rFonts w:asciiTheme="majorHAnsi" w:hAnsiTheme="majorHAnsi" w:cstheme="majorHAnsi"/>
                <w:color w:val="auto"/>
                <w:sz w:val="20"/>
                <w:szCs w:val="20"/>
              </w:rPr>
              <w:t xml:space="preserve"> overlap the same area and when recovery of the impacts from these </w:t>
            </w:r>
            <w:r>
              <w:rPr>
                <w:rFonts w:asciiTheme="majorHAnsi" w:hAnsiTheme="majorHAnsi" w:cstheme="majorHAnsi"/>
                <w:color w:val="auto"/>
                <w:sz w:val="20"/>
                <w:szCs w:val="20"/>
              </w:rPr>
              <w:t>activities</w:t>
            </w:r>
            <w:r w:rsidRPr="007F7A70">
              <w:rPr>
                <w:rFonts w:asciiTheme="majorHAnsi" w:hAnsiTheme="majorHAnsi" w:cstheme="majorHAnsi"/>
                <w:color w:val="auto"/>
                <w:sz w:val="20"/>
                <w:szCs w:val="20"/>
              </w:rPr>
              <w:t xml:space="preserve"> has not occurred prior to the </w:t>
            </w:r>
            <w:r>
              <w:rPr>
                <w:rFonts w:asciiTheme="majorHAnsi" w:hAnsiTheme="majorHAnsi" w:cstheme="majorHAnsi"/>
                <w:color w:val="auto"/>
                <w:sz w:val="20"/>
                <w:szCs w:val="20"/>
              </w:rPr>
              <w:t xml:space="preserve">Bedout multi-well activity </w:t>
            </w:r>
            <w:r w:rsidRPr="007F7A70">
              <w:rPr>
                <w:rFonts w:asciiTheme="majorHAnsi" w:hAnsiTheme="majorHAnsi" w:cstheme="majorHAnsi"/>
                <w:color w:val="auto"/>
                <w:sz w:val="20"/>
                <w:szCs w:val="20"/>
              </w:rPr>
              <w:t>commencing</w:t>
            </w:r>
            <w:r>
              <w:rPr>
                <w:rFonts w:asciiTheme="majorHAnsi" w:hAnsiTheme="majorHAnsi" w:cstheme="majorHAnsi"/>
                <w:color w:val="auto"/>
                <w:sz w:val="20"/>
                <w:szCs w:val="20"/>
              </w:rPr>
              <w:t>.</w:t>
            </w:r>
            <w:r w:rsidR="004C3F57">
              <w:rPr>
                <w:rFonts w:asciiTheme="majorHAnsi" w:hAnsiTheme="majorHAnsi" w:cstheme="majorHAnsi"/>
                <w:color w:val="auto"/>
                <w:sz w:val="20"/>
                <w:szCs w:val="20"/>
              </w:rPr>
              <w:t xml:space="preserve">  Duarte et al (2021) states that </w:t>
            </w:r>
            <w:r w:rsidR="004C3F57" w:rsidRPr="004C3F57">
              <w:rPr>
                <w:rFonts w:asciiTheme="majorHAnsi" w:hAnsiTheme="majorHAnsi" w:cstheme="majorHAnsi"/>
                <w:color w:val="auto"/>
                <w:sz w:val="20"/>
                <w:szCs w:val="20"/>
              </w:rPr>
              <w:t>noise is typically a point-source pollutant, the</w:t>
            </w:r>
          </w:p>
          <w:p w14:paraId="3CDF1519" w14:textId="7A9BED70" w:rsidR="007F7A70" w:rsidRDefault="004C3F57" w:rsidP="004C3F57">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sidRPr="004C3F57">
              <w:rPr>
                <w:rFonts w:asciiTheme="majorHAnsi" w:hAnsiTheme="majorHAnsi" w:cstheme="majorHAnsi"/>
                <w:color w:val="auto"/>
                <w:sz w:val="20"/>
                <w:szCs w:val="20"/>
              </w:rPr>
              <w:t>effects of which decline swiftly once sources are</w:t>
            </w:r>
            <w:r>
              <w:rPr>
                <w:rFonts w:asciiTheme="majorHAnsi" w:hAnsiTheme="majorHAnsi" w:cstheme="majorHAnsi"/>
                <w:color w:val="auto"/>
                <w:sz w:val="20"/>
                <w:szCs w:val="20"/>
              </w:rPr>
              <w:t xml:space="preserve"> </w:t>
            </w:r>
            <w:r w:rsidRPr="004C3F57">
              <w:rPr>
                <w:rFonts w:asciiTheme="majorHAnsi" w:hAnsiTheme="majorHAnsi" w:cstheme="majorHAnsi"/>
                <w:color w:val="auto"/>
                <w:sz w:val="20"/>
                <w:szCs w:val="20"/>
              </w:rPr>
              <w:t>removed</w:t>
            </w:r>
            <w:r>
              <w:rPr>
                <w:rFonts w:asciiTheme="majorHAnsi" w:hAnsiTheme="majorHAnsi" w:cstheme="majorHAnsi"/>
                <w:color w:val="auto"/>
                <w:sz w:val="20"/>
                <w:szCs w:val="20"/>
              </w:rPr>
              <w:t>.</w:t>
            </w:r>
          </w:p>
          <w:p w14:paraId="649F85DE" w14:textId="2E91F0D9" w:rsidR="00877751" w:rsidRDefault="007F7A70" w:rsidP="00F364F3">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rPr>
            </w:pPr>
            <w:r>
              <w:rPr>
                <w:rFonts w:asciiTheme="majorHAnsi" w:hAnsiTheme="majorHAnsi" w:cstheme="majorHAnsi"/>
                <w:color w:val="auto"/>
                <w:sz w:val="20"/>
                <w:szCs w:val="20"/>
              </w:rPr>
              <w:t xml:space="preserve">Due to the low sound levels emitted during the proposed drilling activity including from VSP, as described within Section 6.1.2 of the EP, and the proposed control measures, the potential impacts to marine fauna are limited to behavioural impacts </w:t>
            </w:r>
            <w:r w:rsidR="003E40EC">
              <w:rPr>
                <w:rFonts w:asciiTheme="majorHAnsi" w:hAnsiTheme="majorHAnsi" w:cstheme="majorHAnsi"/>
                <w:color w:val="auto"/>
                <w:sz w:val="20"/>
                <w:szCs w:val="20"/>
              </w:rPr>
              <w:t>confined within the</w:t>
            </w:r>
            <w:r>
              <w:rPr>
                <w:rFonts w:asciiTheme="majorHAnsi" w:hAnsiTheme="majorHAnsi" w:cstheme="majorHAnsi"/>
                <w:color w:val="auto"/>
                <w:sz w:val="20"/>
                <w:szCs w:val="20"/>
              </w:rPr>
              <w:t xml:space="preserve"> short durations when VSP is conducted (12-18 hour windows).  Therefore, recovery of marine fauna from noise emitted by the proposed activity will occur within a short duration and when they have moved away from the area.  Therefore no long term effects are predicted.  </w:t>
            </w:r>
            <w:r w:rsidR="00F364F3">
              <w:rPr>
                <w:rFonts w:asciiTheme="majorHAnsi" w:hAnsiTheme="majorHAnsi" w:cstheme="majorHAnsi"/>
                <w:color w:val="auto"/>
                <w:sz w:val="20"/>
                <w:szCs w:val="20"/>
              </w:rPr>
              <w:t xml:space="preserve">Given the time and distance between other drilling activities there is not considered to be any potential for cumulative effects </w:t>
            </w:r>
            <w:r w:rsidR="00877751" w:rsidRPr="00877751">
              <w:rPr>
                <w:rFonts w:asciiTheme="majorHAnsi" w:hAnsiTheme="majorHAnsi" w:cstheme="majorHAnsi"/>
                <w:color w:val="auto"/>
                <w:sz w:val="20"/>
                <w:szCs w:val="20"/>
              </w:rPr>
              <w:t>due to the short-term nature of the VSP operations and the low sound levels generated by continuous noise sources</w:t>
            </w:r>
            <w:r w:rsidR="00F364F3">
              <w:rPr>
                <w:rFonts w:asciiTheme="majorHAnsi" w:hAnsiTheme="majorHAnsi" w:cstheme="majorHAnsi"/>
                <w:color w:val="auto"/>
                <w:sz w:val="20"/>
                <w:szCs w:val="20"/>
              </w:rPr>
              <w:t xml:space="preserve"> during drilling and vessel based activities</w:t>
            </w:r>
            <w:r>
              <w:rPr>
                <w:rFonts w:asciiTheme="majorHAnsi" w:hAnsiTheme="majorHAnsi" w:cstheme="majorHAnsi"/>
                <w:color w:val="auto"/>
                <w:sz w:val="20"/>
                <w:szCs w:val="20"/>
              </w:rPr>
              <w:t xml:space="preserve">.  </w:t>
            </w:r>
            <w:r w:rsidR="003E40EC">
              <w:rPr>
                <w:rFonts w:asciiTheme="majorHAnsi" w:hAnsiTheme="majorHAnsi" w:cstheme="majorHAnsi"/>
                <w:color w:val="auto"/>
                <w:sz w:val="20"/>
                <w:szCs w:val="20"/>
              </w:rPr>
              <w:t>In addition, control measures proposed will limit the potential impacts to migratory species such as whales and whale sharks.</w:t>
            </w:r>
          </w:p>
          <w:p w14:paraId="0967C493" w14:textId="5B8BDD44" w:rsidR="00877751" w:rsidRPr="00877751" w:rsidRDefault="00877751" w:rsidP="000D6E98">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u w:val="single"/>
              </w:rPr>
            </w:pPr>
            <w:r w:rsidRPr="00877751">
              <w:rPr>
                <w:rFonts w:asciiTheme="majorHAnsi" w:hAnsiTheme="majorHAnsi" w:cstheme="majorHAnsi"/>
                <w:color w:val="auto"/>
                <w:sz w:val="20"/>
                <w:szCs w:val="20"/>
                <w:u w:val="single"/>
              </w:rPr>
              <w:t>References</w:t>
            </w:r>
          </w:p>
          <w:p w14:paraId="3ACBF381" w14:textId="77777777" w:rsidR="004C3F57" w:rsidRPr="004C3F57" w:rsidRDefault="004C3F57" w:rsidP="004C3F57">
            <w:pPr>
              <w:cnfStyle w:val="000000010000" w:firstRow="0" w:lastRow="0" w:firstColumn="0" w:lastColumn="0" w:oddVBand="0" w:evenVBand="0" w:oddHBand="0" w:evenHBand="1" w:firstRowFirstColumn="0" w:firstRowLastColumn="0" w:lastRowFirstColumn="0" w:lastRowLastColumn="0"/>
              <w:rPr>
                <w:sz w:val="20"/>
                <w:szCs w:val="20"/>
              </w:rPr>
            </w:pPr>
            <w:bookmarkStart w:id="0" w:name="_Hlk66534841"/>
          </w:p>
          <w:p w14:paraId="2460FFC5" w14:textId="5314253D" w:rsidR="004C3F57" w:rsidRDefault="004C3F57" w:rsidP="004C3F57">
            <w:pPr>
              <w:cnfStyle w:val="000000010000" w:firstRow="0" w:lastRow="0" w:firstColumn="0" w:lastColumn="0" w:oddVBand="0" w:evenVBand="0" w:oddHBand="0" w:evenHBand="1" w:firstRowFirstColumn="0" w:firstRowLastColumn="0" w:lastRowFirstColumn="0" w:lastRowLastColumn="0"/>
              <w:rPr>
                <w:sz w:val="20"/>
                <w:szCs w:val="20"/>
              </w:rPr>
            </w:pPr>
            <w:r w:rsidRPr="004C3F57">
              <w:rPr>
                <w:sz w:val="20"/>
                <w:szCs w:val="20"/>
              </w:rPr>
              <w:t>Duarte</w:t>
            </w:r>
            <w:r>
              <w:rPr>
                <w:sz w:val="20"/>
                <w:szCs w:val="20"/>
              </w:rPr>
              <w:t xml:space="preserve">, CM, </w:t>
            </w:r>
            <w:r w:rsidRPr="004C3F57">
              <w:rPr>
                <w:sz w:val="20"/>
                <w:szCs w:val="20"/>
              </w:rPr>
              <w:t>Chapuis</w:t>
            </w:r>
            <w:r>
              <w:rPr>
                <w:sz w:val="20"/>
                <w:szCs w:val="20"/>
              </w:rPr>
              <w:t xml:space="preserve">, L, </w:t>
            </w:r>
            <w:r w:rsidRPr="004C3F57">
              <w:rPr>
                <w:sz w:val="20"/>
                <w:szCs w:val="20"/>
              </w:rPr>
              <w:t>Collin</w:t>
            </w:r>
            <w:r>
              <w:rPr>
                <w:sz w:val="20"/>
                <w:szCs w:val="20"/>
              </w:rPr>
              <w:t>, SP</w:t>
            </w:r>
            <w:r w:rsidRPr="004C3F57">
              <w:rPr>
                <w:sz w:val="20"/>
                <w:szCs w:val="20"/>
              </w:rPr>
              <w:t>, Costa</w:t>
            </w:r>
            <w:r>
              <w:rPr>
                <w:sz w:val="20"/>
                <w:szCs w:val="20"/>
              </w:rPr>
              <w:t>, DP,</w:t>
            </w:r>
            <w:r w:rsidRPr="004C3F57">
              <w:rPr>
                <w:sz w:val="20"/>
                <w:szCs w:val="20"/>
              </w:rPr>
              <w:t xml:space="preserve"> Devassy,</w:t>
            </w:r>
            <w:r>
              <w:rPr>
                <w:sz w:val="20"/>
                <w:szCs w:val="20"/>
              </w:rPr>
              <w:t xml:space="preserve"> RP,</w:t>
            </w:r>
            <w:r w:rsidRPr="004C3F57">
              <w:rPr>
                <w:sz w:val="20"/>
                <w:szCs w:val="20"/>
              </w:rPr>
              <w:t xml:space="preserve"> Eguiluz</w:t>
            </w:r>
            <w:r>
              <w:rPr>
                <w:sz w:val="20"/>
                <w:szCs w:val="20"/>
              </w:rPr>
              <w:t>, VM,</w:t>
            </w:r>
            <w:r w:rsidRPr="004C3F57">
              <w:rPr>
                <w:sz w:val="20"/>
                <w:szCs w:val="20"/>
              </w:rPr>
              <w:t xml:space="preserve"> </w:t>
            </w:r>
            <w:r>
              <w:rPr>
                <w:sz w:val="20"/>
                <w:szCs w:val="20"/>
              </w:rPr>
              <w:t>E</w:t>
            </w:r>
            <w:r w:rsidRPr="004C3F57">
              <w:rPr>
                <w:sz w:val="20"/>
                <w:szCs w:val="20"/>
              </w:rPr>
              <w:t>rbe,</w:t>
            </w:r>
            <w:r>
              <w:rPr>
                <w:sz w:val="20"/>
                <w:szCs w:val="20"/>
              </w:rPr>
              <w:t xml:space="preserve"> C,</w:t>
            </w:r>
            <w:r w:rsidRPr="004C3F57">
              <w:rPr>
                <w:sz w:val="20"/>
                <w:szCs w:val="20"/>
              </w:rPr>
              <w:t xml:space="preserve"> Gordon,</w:t>
            </w:r>
            <w:r>
              <w:rPr>
                <w:sz w:val="20"/>
                <w:szCs w:val="20"/>
              </w:rPr>
              <w:t xml:space="preserve"> TAC,</w:t>
            </w:r>
            <w:r w:rsidRPr="004C3F57">
              <w:rPr>
                <w:sz w:val="20"/>
                <w:szCs w:val="20"/>
              </w:rPr>
              <w:t xml:space="preserve"> Halpern,</w:t>
            </w:r>
            <w:r>
              <w:rPr>
                <w:sz w:val="20"/>
                <w:szCs w:val="20"/>
              </w:rPr>
              <w:t xml:space="preserve"> BS,</w:t>
            </w:r>
            <w:r w:rsidRPr="004C3F57">
              <w:rPr>
                <w:sz w:val="20"/>
                <w:szCs w:val="20"/>
              </w:rPr>
              <w:t xml:space="preserve"> Harding,</w:t>
            </w:r>
            <w:r>
              <w:rPr>
                <w:sz w:val="20"/>
                <w:szCs w:val="20"/>
              </w:rPr>
              <w:t xml:space="preserve"> HR,</w:t>
            </w:r>
            <w:r w:rsidRPr="004C3F57">
              <w:rPr>
                <w:sz w:val="20"/>
                <w:szCs w:val="20"/>
              </w:rPr>
              <w:t xml:space="preserve"> Havlik,</w:t>
            </w:r>
            <w:r>
              <w:rPr>
                <w:sz w:val="20"/>
                <w:szCs w:val="20"/>
              </w:rPr>
              <w:t xml:space="preserve"> MN,</w:t>
            </w:r>
            <w:r w:rsidRPr="004C3F57">
              <w:rPr>
                <w:sz w:val="20"/>
                <w:szCs w:val="20"/>
              </w:rPr>
              <w:t xml:space="preserve"> </w:t>
            </w:r>
            <w:r>
              <w:rPr>
                <w:sz w:val="20"/>
                <w:szCs w:val="20"/>
              </w:rPr>
              <w:t>M</w:t>
            </w:r>
            <w:r w:rsidRPr="004C3F57">
              <w:rPr>
                <w:sz w:val="20"/>
                <w:szCs w:val="20"/>
              </w:rPr>
              <w:t>eekan,</w:t>
            </w:r>
            <w:r>
              <w:rPr>
                <w:sz w:val="20"/>
                <w:szCs w:val="20"/>
              </w:rPr>
              <w:t xml:space="preserve"> M,</w:t>
            </w:r>
            <w:r w:rsidRPr="004C3F57">
              <w:rPr>
                <w:sz w:val="20"/>
                <w:szCs w:val="20"/>
              </w:rPr>
              <w:t xml:space="preserve"> Merchant,</w:t>
            </w:r>
            <w:r>
              <w:rPr>
                <w:sz w:val="20"/>
                <w:szCs w:val="20"/>
              </w:rPr>
              <w:t xml:space="preserve"> ND,</w:t>
            </w:r>
            <w:r w:rsidRPr="004C3F57">
              <w:rPr>
                <w:sz w:val="20"/>
                <w:szCs w:val="20"/>
              </w:rPr>
              <w:t xml:space="preserve"> Miksis-olds</w:t>
            </w:r>
            <w:r>
              <w:rPr>
                <w:sz w:val="20"/>
                <w:szCs w:val="20"/>
              </w:rPr>
              <w:t>, JL,</w:t>
            </w:r>
            <w:r w:rsidRPr="004C3F57">
              <w:rPr>
                <w:sz w:val="20"/>
                <w:szCs w:val="20"/>
              </w:rPr>
              <w:t xml:space="preserve"> </w:t>
            </w:r>
            <w:r>
              <w:rPr>
                <w:sz w:val="20"/>
                <w:szCs w:val="20"/>
              </w:rPr>
              <w:t>P</w:t>
            </w:r>
            <w:r w:rsidRPr="004C3F57">
              <w:rPr>
                <w:sz w:val="20"/>
                <w:szCs w:val="20"/>
              </w:rPr>
              <w:t>arsons,</w:t>
            </w:r>
            <w:r>
              <w:rPr>
                <w:sz w:val="20"/>
                <w:szCs w:val="20"/>
              </w:rPr>
              <w:t xml:space="preserve"> M,</w:t>
            </w:r>
            <w:r w:rsidRPr="004C3F57">
              <w:rPr>
                <w:sz w:val="20"/>
                <w:szCs w:val="20"/>
              </w:rPr>
              <w:t xml:space="preserve"> </w:t>
            </w:r>
            <w:r>
              <w:rPr>
                <w:sz w:val="20"/>
                <w:szCs w:val="20"/>
              </w:rPr>
              <w:t>P</w:t>
            </w:r>
            <w:r w:rsidRPr="004C3F57">
              <w:rPr>
                <w:sz w:val="20"/>
                <w:szCs w:val="20"/>
              </w:rPr>
              <w:t>redragovic,</w:t>
            </w:r>
            <w:r>
              <w:rPr>
                <w:sz w:val="20"/>
                <w:szCs w:val="20"/>
              </w:rPr>
              <w:t xml:space="preserve"> M, </w:t>
            </w:r>
            <w:r w:rsidRPr="004C3F57">
              <w:rPr>
                <w:sz w:val="20"/>
                <w:szCs w:val="20"/>
              </w:rPr>
              <w:t xml:space="preserve"> Radford,</w:t>
            </w:r>
            <w:r>
              <w:rPr>
                <w:sz w:val="20"/>
                <w:szCs w:val="20"/>
              </w:rPr>
              <w:t xml:space="preserve"> AN,</w:t>
            </w:r>
            <w:r w:rsidRPr="004C3F57">
              <w:rPr>
                <w:sz w:val="20"/>
                <w:szCs w:val="20"/>
              </w:rPr>
              <w:t xml:space="preserve"> Radford,</w:t>
            </w:r>
            <w:r>
              <w:rPr>
                <w:sz w:val="20"/>
                <w:szCs w:val="20"/>
              </w:rPr>
              <w:t xml:space="preserve"> CA,</w:t>
            </w:r>
            <w:r w:rsidRPr="004C3F57">
              <w:rPr>
                <w:sz w:val="20"/>
                <w:szCs w:val="20"/>
              </w:rPr>
              <w:t xml:space="preserve"> Simpson,</w:t>
            </w:r>
            <w:r>
              <w:rPr>
                <w:sz w:val="20"/>
                <w:szCs w:val="20"/>
              </w:rPr>
              <w:t xml:space="preserve"> SD,</w:t>
            </w:r>
            <w:r w:rsidRPr="004C3F57">
              <w:rPr>
                <w:sz w:val="20"/>
                <w:szCs w:val="20"/>
              </w:rPr>
              <w:t xml:space="preserve"> </w:t>
            </w:r>
            <w:r>
              <w:rPr>
                <w:sz w:val="20"/>
                <w:szCs w:val="20"/>
              </w:rPr>
              <w:t>S</w:t>
            </w:r>
            <w:r w:rsidRPr="004C3F57">
              <w:rPr>
                <w:sz w:val="20"/>
                <w:szCs w:val="20"/>
              </w:rPr>
              <w:t>labbekoorn,</w:t>
            </w:r>
            <w:r>
              <w:rPr>
                <w:sz w:val="20"/>
                <w:szCs w:val="20"/>
              </w:rPr>
              <w:t>H,</w:t>
            </w:r>
            <w:r w:rsidRPr="004C3F57">
              <w:rPr>
                <w:sz w:val="20"/>
                <w:szCs w:val="20"/>
              </w:rPr>
              <w:t xml:space="preserve"> </w:t>
            </w:r>
            <w:r>
              <w:rPr>
                <w:sz w:val="20"/>
                <w:szCs w:val="20"/>
              </w:rPr>
              <w:t>S</w:t>
            </w:r>
            <w:r w:rsidRPr="004C3F57">
              <w:rPr>
                <w:sz w:val="20"/>
                <w:szCs w:val="20"/>
              </w:rPr>
              <w:t>taaterman,</w:t>
            </w:r>
            <w:r>
              <w:rPr>
                <w:sz w:val="20"/>
                <w:szCs w:val="20"/>
              </w:rPr>
              <w:t xml:space="preserve"> E,</w:t>
            </w:r>
            <w:r w:rsidRPr="004C3F57">
              <w:rPr>
                <w:sz w:val="20"/>
                <w:szCs w:val="20"/>
              </w:rPr>
              <w:t xml:space="preserve"> Van opzeeland,</w:t>
            </w:r>
            <w:r>
              <w:rPr>
                <w:sz w:val="20"/>
                <w:szCs w:val="20"/>
              </w:rPr>
              <w:t xml:space="preserve"> IC, W</w:t>
            </w:r>
            <w:r w:rsidRPr="004C3F57">
              <w:rPr>
                <w:sz w:val="20"/>
                <w:szCs w:val="20"/>
              </w:rPr>
              <w:t>inderen,</w:t>
            </w:r>
            <w:r>
              <w:rPr>
                <w:sz w:val="20"/>
                <w:szCs w:val="20"/>
              </w:rPr>
              <w:t xml:space="preserve"> J,</w:t>
            </w:r>
            <w:r w:rsidRPr="004C3F57">
              <w:rPr>
                <w:sz w:val="20"/>
                <w:szCs w:val="20"/>
              </w:rPr>
              <w:t xml:space="preserve"> </w:t>
            </w:r>
            <w:r>
              <w:rPr>
                <w:sz w:val="20"/>
                <w:szCs w:val="20"/>
              </w:rPr>
              <w:t>Z</w:t>
            </w:r>
            <w:r w:rsidRPr="004C3F57">
              <w:rPr>
                <w:sz w:val="20"/>
                <w:szCs w:val="20"/>
              </w:rPr>
              <w:t>hang,</w:t>
            </w:r>
            <w:r>
              <w:rPr>
                <w:sz w:val="20"/>
                <w:szCs w:val="20"/>
              </w:rPr>
              <w:t xml:space="preserve"> X,</w:t>
            </w:r>
            <w:r w:rsidRPr="004C3F57">
              <w:rPr>
                <w:sz w:val="20"/>
                <w:szCs w:val="20"/>
              </w:rPr>
              <w:t xml:space="preserve"> </w:t>
            </w:r>
            <w:r>
              <w:rPr>
                <w:sz w:val="20"/>
                <w:szCs w:val="20"/>
              </w:rPr>
              <w:t>J</w:t>
            </w:r>
            <w:r w:rsidRPr="004C3F57">
              <w:rPr>
                <w:sz w:val="20"/>
                <w:szCs w:val="20"/>
              </w:rPr>
              <w:t>uanes</w:t>
            </w:r>
            <w:r>
              <w:rPr>
                <w:sz w:val="20"/>
                <w:szCs w:val="20"/>
              </w:rPr>
              <w:t>, F</w:t>
            </w:r>
            <w:r w:rsidRPr="004C3F57">
              <w:rPr>
                <w:sz w:val="20"/>
                <w:szCs w:val="20"/>
              </w:rPr>
              <w:t xml:space="preserve"> (2021) The soundscape of the Anthropocene ocean, Science, 371(6529), eaba4658, </w:t>
            </w:r>
            <w:hyperlink r:id="rId13" w:history="1">
              <w:r w:rsidRPr="000C06E0">
                <w:rPr>
                  <w:rStyle w:val="Hyperlink"/>
                  <w:sz w:val="20"/>
                  <w:szCs w:val="20"/>
                </w:rPr>
                <w:t>https://doi.org/10.1126/science.aba4658</w:t>
              </w:r>
            </w:hyperlink>
            <w:r>
              <w:rPr>
                <w:sz w:val="20"/>
                <w:szCs w:val="20"/>
              </w:rPr>
              <w:t xml:space="preserve"> </w:t>
            </w:r>
            <w:r w:rsidRPr="004C3F57">
              <w:rPr>
                <w:sz w:val="20"/>
                <w:szCs w:val="20"/>
              </w:rPr>
              <w:t>.</w:t>
            </w:r>
          </w:p>
          <w:p w14:paraId="2B7181BB" w14:textId="77777777" w:rsidR="004C3F57" w:rsidRDefault="004C3F57" w:rsidP="00877751">
            <w:pPr>
              <w:cnfStyle w:val="000000010000" w:firstRow="0" w:lastRow="0" w:firstColumn="0" w:lastColumn="0" w:oddVBand="0" w:evenVBand="0" w:oddHBand="0" w:evenHBand="1" w:firstRowFirstColumn="0" w:firstRowLastColumn="0" w:lastRowFirstColumn="0" w:lastRowLastColumn="0"/>
              <w:rPr>
                <w:sz w:val="20"/>
                <w:szCs w:val="20"/>
              </w:rPr>
            </w:pPr>
          </w:p>
          <w:p w14:paraId="598E0E60" w14:textId="46E39892" w:rsidR="00877751" w:rsidRDefault="00877751" w:rsidP="00877751">
            <w:pPr>
              <w:cnfStyle w:val="000000010000" w:firstRow="0" w:lastRow="0" w:firstColumn="0" w:lastColumn="0" w:oddVBand="0" w:evenVBand="0" w:oddHBand="0" w:evenHBand="1" w:firstRowFirstColumn="0" w:firstRowLastColumn="0" w:lastRowFirstColumn="0" w:lastRowLastColumn="0"/>
              <w:rPr>
                <w:i/>
                <w:iCs/>
                <w:sz w:val="20"/>
                <w:szCs w:val="20"/>
              </w:rPr>
            </w:pPr>
            <w:r>
              <w:rPr>
                <w:sz w:val="20"/>
                <w:szCs w:val="20"/>
              </w:rPr>
              <w:t xml:space="preserve">Kent, C.S., McCauley, R.D., Duncan, A., Erbe, C., Gavrilov, A., Lucke, K., and Parnum, I. (2016). Underwater Sound and Vibration from Offshore Petroleum Activities and their Potential Effects on Marine Fauna: An Australian Perspective. </w:t>
            </w:r>
            <w:r>
              <w:rPr>
                <w:i/>
                <w:iCs/>
                <w:sz w:val="20"/>
                <w:szCs w:val="20"/>
              </w:rPr>
              <w:t xml:space="preserve">Centre for Marine Science and Technology (CMST). Curtin University. </w:t>
            </w:r>
            <w:bookmarkEnd w:id="0"/>
          </w:p>
          <w:p w14:paraId="2BC5F4BE" w14:textId="451D202A" w:rsidR="00877751" w:rsidRDefault="00877751" w:rsidP="000D6E98">
            <w:pPr>
              <w:pStyle w:val="Default"/>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auto"/>
                <w:sz w:val="20"/>
                <w:szCs w:val="20"/>
                <w:highlight w:val="yellow"/>
              </w:rPr>
            </w:pPr>
          </w:p>
        </w:tc>
      </w:tr>
    </w:tbl>
    <w:p w14:paraId="7D0E1824" w14:textId="77777777" w:rsidR="004506D2" w:rsidRPr="004506D2" w:rsidRDefault="004506D2" w:rsidP="00FC49EF">
      <w:pPr>
        <w:spacing w:after="0" w:line="259" w:lineRule="auto"/>
      </w:pPr>
    </w:p>
    <w:sectPr w:rsidR="004506D2" w:rsidRPr="004506D2" w:rsidSect="004E5171">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1134" w:right="1871"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F1A7" w14:textId="77777777" w:rsidR="00FF1614" w:rsidRPr="000D4EDE" w:rsidRDefault="00FF1614" w:rsidP="000D4EDE">
      <w:r>
        <w:separator/>
      </w:r>
    </w:p>
    <w:p w14:paraId="3007480B" w14:textId="77777777" w:rsidR="00FF1614" w:rsidRDefault="00FF1614"/>
    <w:p w14:paraId="2263A690" w14:textId="77777777" w:rsidR="00FF1614" w:rsidRDefault="00FF1614"/>
  </w:endnote>
  <w:endnote w:type="continuationSeparator" w:id="0">
    <w:p w14:paraId="7CF949C1" w14:textId="77777777" w:rsidR="00FF1614" w:rsidRPr="000D4EDE" w:rsidRDefault="00FF1614" w:rsidP="000D4EDE">
      <w:r>
        <w:continuationSeparator/>
      </w:r>
    </w:p>
    <w:p w14:paraId="028F5F56" w14:textId="77777777" w:rsidR="00FF1614" w:rsidRDefault="00FF1614"/>
    <w:p w14:paraId="51492136" w14:textId="77777777" w:rsidR="00FF1614" w:rsidRDefault="00FF1614"/>
  </w:endnote>
  <w:endnote w:type="continuationNotice" w:id="1">
    <w:p w14:paraId="7C000A69" w14:textId="77777777" w:rsidR="00FF1614" w:rsidRDefault="00FF16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1114" w14:textId="77777777" w:rsidR="0065167C" w:rsidRDefault="0065167C">
    <w:pPr>
      <w:pStyle w:val="Footer"/>
    </w:pPr>
  </w:p>
  <w:p w14:paraId="71492D24" w14:textId="77777777" w:rsidR="0065167C" w:rsidRDefault="0065167C"/>
  <w:p w14:paraId="1F55A81B" w14:textId="77777777" w:rsidR="0065167C" w:rsidRDefault="0065167C"/>
  <w:p w14:paraId="341EC82F" w14:textId="77777777" w:rsidR="0065167C" w:rsidRDefault="0065167C"/>
  <w:p w14:paraId="1BF28BA4" w14:textId="77777777" w:rsidR="0065167C" w:rsidRDefault="006516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EA76" w14:textId="78A0F091" w:rsidR="0065167C" w:rsidRPr="00D50669" w:rsidRDefault="0065167C" w:rsidP="006A4553">
    <w:pPr>
      <w:pStyle w:val="QMSFooter"/>
    </w:pPr>
    <w:r w:rsidRPr="00D50669">
      <w:ptab w:relativeTo="margin" w:alignment="left" w:leader="none"/>
    </w:r>
    <w:r w:rsidRPr="00D50669">
      <w:ptab w:relativeTo="margin" w:alignment="left" w:leader="none"/>
    </w:r>
    <w:r w:rsidRPr="00D50669">
      <w:ptab w:relativeTo="margin" w:alignment="left" w:leader="none"/>
    </w:r>
    <w:r>
      <w:ptab w:relativeTo="margin" w:alignment="left" w:leader="none"/>
    </w:r>
    <w:r w:rsidRPr="00D50669">
      <w:t>National Offshore Petroleum Safety and Environmental Management Authority</w:t>
    </w:r>
    <w:r>
      <w:ptab w:relativeTo="margin" w:alignment="center" w:leader="none"/>
    </w:r>
    <w:r>
      <w:ptab w:relativeTo="margin" w:alignment="center" w:leader="none"/>
    </w:r>
    <w:r w:rsidR="00FF1614">
      <w:fldChar w:fldCharType="begin"/>
    </w:r>
    <w:r w:rsidR="00FF1614">
      <w:instrText xml:space="preserve"> DOCPROPERTY  Objective-FileNumber  \* MERGEFORMAT </w:instrText>
    </w:r>
    <w:r w:rsidR="00FF1614">
      <w:fldChar w:fldCharType="separate"/>
    </w:r>
    <w:r w:rsidR="00A323BD">
      <w:t>N-04750-FM1846</w:t>
    </w:r>
    <w:r w:rsidR="00FF1614">
      <w:fldChar w:fldCharType="end"/>
    </w:r>
    <w:r>
      <w:t xml:space="preserve"> </w:t>
    </w:r>
    <w:r w:rsidR="00FF1614">
      <w:fldChar w:fldCharType="begin"/>
    </w:r>
    <w:r w:rsidR="00FF1614">
      <w:instrText xml:space="preserve"> DOCPROPERTY  Objective-Id  \* MERGEFORMAT </w:instrText>
    </w:r>
    <w:r w:rsidR="00FF1614">
      <w:fldChar w:fldCharType="separate"/>
    </w:r>
    <w:r w:rsidR="00A323BD">
      <w:t>A662604</w:t>
    </w:r>
    <w:r w:rsidR="00FF1614">
      <w:fldChar w:fldCharType="end"/>
    </w:r>
    <w:r>
      <w:ptab w:relativeTo="margin" w:alignment="right" w:leader="none"/>
    </w:r>
    <w:r w:rsidR="002C7EF7">
      <w:fldChar w:fldCharType="begin"/>
    </w:r>
    <w:r w:rsidR="002C7EF7">
      <w:instrText xml:space="preserve"> REF  Date  \* MERGEFORMAT </w:instrText>
    </w:r>
    <w:r w:rsidR="002C7EF7">
      <w:fldChar w:fldCharType="separate"/>
    </w:r>
    <w:r w:rsidR="00A323BD">
      <w:rPr>
        <w:b/>
        <w:bCs/>
        <w:lang w:val="en-US"/>
      </w:rPr>
      <w:t>Error! Reference source not found.</w:t>
    </w:r>
    <w:r w:rsidR="002C7EF7">
      <w:fldChar w:fldCharType="end"/>
    </w:r>
    <w:r w:rsidRPr="00D50669">
      <w:t xml:space="preserve">    Page </w:t>
    </w:r>
    <w:r w:rsidRPr="00D50669">
      <w:fldChar w:fldCharType="begin"/>
    </w:r>
    <w:r w:rsidRPr="00D50669">
      <w:instrText xml:space="preserve"> PAGE   \* MERGEFORMAT </w:instrText>
    </w:r>
    <w:r w:rsidRPr="00D50669">
      <w:fldChar w:fldCharType="separate"/>
    </w:r>
    <w:r>
      <w:rPr>
        <w:noProof/>
      </w:rPr>
      <w:t>2</w:t>
    </w:r>
    <w:r w:rsidRPr="00D50669">
      <w:fldChar w:fldCharType="end"/>
    </w:r>
    <w:r w:rsidRPr="00D50669">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p w14:paraId="44CD78B9" w14:textId="77777777" w:rsidR="0065167C" w:rsidRDefault="0065167C"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9119" w14:textId="4CC7A01E" w:rsidR="0065167C" w:rsidRDefault="0065167C" w:rsidP="002157EB">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ironmental Management Authority</w:t>
    </w:r>
    <w:r w:rsidRPr="002157EB">
      <w:ptab w:relativeTo="margin" w:alignment="center" w:leader="none"/>
    </w:r>
    <w:r w:rsidRPr="002157EB">
      <w:ptab w:relativeTo="margin" w:alignment="center" w:leader="none"/>
    </w:r>
    <w:r w:rsidR="00FF1614">
      <w:fldChar w:fldCharType="begin"/>
    </w:r>
    <w:r w:rsidR="00FF1614">
      <w:instrText xml:space="preserve"> DOCPROPERTY  Objective-FileNumber  \* MERGEFORMAT </w:instrText>
    </w:r>
    <w:r w:rsidR="00FF1614">
      <w:fldChar w:fldCharType="separate"/>
    </w:r>
    <w:r w:rsidR="00A323BD">
      <w:t>N-04750-FM1846</w:t>
    </w:r>
    <w:r w:rsidR="00FF1614">
      <w:fldChar w:fldCharType="end"/>
    </w:r>
    <w:r>
      <w:t xml:space="preserve">  </w:t>
    </w:r>
    <w:r w:rsidR="00FF1614">
      <w:fldChar w:fldCharType="begin"/>
    </w:r>
    <w:r w:rsidR="00FF1614">
      <w:instrText xml:space="preserve"> DOCPROPERTY  Objective-Id  \* MERGEFORMAT </w:instrText>
    </w:r>
    <w:r w:rsidR="00FF1614">
      <w:fldChar w:fldCharType="separate"/>
    </w:r>
    <w:r w:rsidR="00A323BD">
      <w:t>A662604</w:t>
    </w:r>
    <w:r w:rsidR="00FF1614">
      <w:fldChar w:fldCharType="end"/>
    </w:r>
    <w:r w:rsidRPr="002157EB">
      <w:ptab w:relativeTo="margin" w:alignment="right" w:leader="none"/>
    </w:r>
    <w:r w:rsidR="002C7EF7">
      <w:fldChar w:fldCharType="begin"/>
    </w:r>
    <w:r w:rsidR="002C7EF7">
      <w:instrText xml:space="preserve"> REF  Date  \* MERGEFORMAT </w:instrText>
    </w:r>
    <w:r w:rsidR="002C7EF7">
      <w:fldChar w:fldCharType="separate"/>
    </w:r>
    <w:r w:rsidR="00A323BD">
      <w:rPr>
        <w:b/>
        <w:bCs/>
        <w:lang w:val="en-US"/>
      </w:rPr>
      <w:t>Error! Reference source not found.</w:t>
    </w:r>
    <w:r w:rsidR="002C7EF7">
      <w:fldChar w:fldCharType="end"/>
    </w:r>
    <w:r w:rsidRPr="002157EB">
      <w:t xml:space="preserve">     Page </w:t>
    </w:r>
    <w:r w:rsidRPr="002157EB">
      <w:fldChar w:fldCharType="begin"/>
    </w:r>
    <w:r w:rsidRPr="002157EB">
      <w:instrText xml:space="preserve"> PAGE   \* MERGEFORMAT </w:instrText>
    </w:r>
    <w:r w:rsidRPr="002157EB">
      <w:fldChar w:fldCharType="separate"/>
    </w:r>
    <w:r>
      <w:rPr>
        <w:noProof/>
      </w:rPr>
      <w:t>1</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p w14:paraId="4D305ECC" w14:textId="77777777" w:rsidR="0065167C" w:rsidRPr="002157EB" w:rsidRDefault="0065167C"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CAF8" w14:textId="77777777" w:rsidR="00FF1614" w:rsidRDefault="00FF1614" w:rsidP="00AC26DD">
      <w:pPr>
        <w:spacing w:before="0" w:after="0"/>
      </w:pPr>
      <w:r>
        <w:separator/>
      </w:r>
    </w:p>
  </w:footnote>
  <w:footnote w:type="continuationSeparator" w:id="0">
    <w:p w14:paraId="5F25008E" w14:textId="77777777" w:rsidR="00FF1614" w:rsidRPr="000D4EDE" w:rsidRDefault="00FF1614" w:rsidP="000D4EDE">
      <w:r>
        <w:continuationSeparator/>
      </w:r>
    </w:p>
    <w:p w14:paraId="29934192" w14:textId="77777777" w:rsidR="00FF1614" w:rsidRDefault="00FF1614"/>
    <w:p w14:paraId="11474CCB" w14:textId="77777777" w:rsidR="00FF1614" w:rsidRDefault="00FF1614"/>
  </w:footnote>
  <w:footnote w:type="continuationNotice" w:id="1">
    <w:p w14:paraId="47E371B7" w14:textId="77777777" w:rsidR="00FF1614" w:rsidRDefault="00FF16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C4E4" w14:textId="77777777" w:rsidR="0065167C" w:rsidRDefault="0065167C">
    <w:pPr>
      <w:pStyle w:val="Header"/>
    </w:pPr>
  </w:p>
  <w:p w14:paraId="6A515E21" w14:textId="77777777" w:rsidR="0065167C" w:rsidRDefault="0065167C"/>
  <w:p w14:paraId="4E950934" w14:textId="77777777" w:rsidR="0065167C" w:rsidRDefault="006516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BE07" w14:textId="77777777" w:rsidR="00C479BF" w:rsidRDefault="00C479BF" w:rsidP="001264E4">
    <w:pPr>
      <w:spacing w:before="0" w:after="0"/>
      <w:jc w:val="right"/>
      <w:rPr>
        <w:noProof/>
      </w:rPr>
    </w:pPr>
    <w:r>
      <w:rPr>
        <w:noProof/>
      </w:rPr>
      <w:t>Titleholder report on public comment</w:t>
    </w:r>
  </w:p>
  <w:p w14:paraId="764CFE36" w14:textId="3C743D0C" w:rsidR="0065167C" w:rsidRPr="001264E4" w:rsidRDefault="00C479BF" w:rsidP="001264E4">
    <w:pPr>
      <w:spacing w:before="0" w:after="0"/>
      <w:jc w:val="right"/>
      <w:rPr>
        <w:color w:val="6B6E71"/>
        <w:sz w:val="16"/>
      </w:rPr>
    </w:pPr>
    <w:r>
      <w:rPr>
        <w:noProof/>
      </w:rPr>
      <w:t>Form</w:t>
    </w:r>
    <w:r w:rsidR="0065167C">
      <w:br/>
    </w:r>
    <w:r w:rsidR="0065167C" w:rsidRPr="001264E4">
      <w:rPr>
        <w:noProof/>
        <w:color w:val="6B6E71"/>
        <w:sz w:val="16"/>
        <w:lang w:eastAsia="en-AU"/>
      </w:rPr>
      <w:drawing>
        <wp:anchor distT="0" distB="0" distL="114300" distR="114300" simplePos="0" relativeHeight="251658240" behindDoc="1" locked="0" layoutInCell="1" allowOverlap="0" wp14:anchorId="073AFC88" wp14:editId="7CF6A6DF">
          <wp:simplePos x="0" y="0"/>
          <wp:positionH relativeFrom="margin">
            <wp:posOffset>-50165</wp:posOffset>
          </wp:positionH>
          <wp:positionV relativeFrom="page">
            <wp:posOffset>368300</wp:posOffset>
          </wp:positionV>
          <wp:extent cx="1980000" cy="4320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02C15402" w14:textId="77777777" w:rsidR="0065167C" w:rsidRDefault="0065167C"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D03A" w14:textId="1AEFFAA5" w:rsidR="0065167C" w:rsidRPr="00A97D91" w:rsidRDefault="0065167C" w:rsidP="00A97D91">
    <w:pPr>
      <w:pStyle w:val="DocumentType"/>
      <w:pBdr>
        <w:top w:val="single" w:sz="18" w:space="1" w:color="6B6E71"/>
        <w:left w:val="single" w:sz="18" w:space="4" w:color="6B6E71"/>
        <w:bottom w:val="single" w:sz="18" w:space="1" w:color="6B6E71"/>
        <w:right w:val="single" w:sz="18" w:space="4" w:color="6B6E71"/>
      </w:pBdr>
      <w:rPr>
        <w:color w:val="F58220" w:themeColor="accent1"/>
      </w:rPr>
    </w:pPr>
    <w:r w:rsidRPr="00A97D91">
      <w:rPr>
        <w:noProof/>
        <w:color w:val="F58220" w:themeColor="accent1"/>
      </w:rPr>
      <w:fldChar w:fldCharType="begin"/>
    </w:r>
    <w:r w:rsidRPr="00A97D91">
      <w:rPr>
        <w:noProof/>
        <w:color w:val="F58220" w:themeColor="accent1"/>
      </w:rPr>
      <w:instrText xml:space="preserve"> STYLEREF  DocTypeinBody </w:instrText>
    </w:r>
    <w:r w:rsidRPr="00A97D91">
      <w:rPr>
        <w:noProof/>
        <w:color w:val="F58220" w:themeColor="accent1"/>
      </w:rPr>
      <w:fldChar w:fldCharType="separate"/>
    </w:r>
    <w:r w:rsidR="00A323BD">
      <w:rPr>
        <w:b w:val="0"/>
        <w:bCs/>
        <w:noProof/>
        <w:color w:val="F58220" w:themeColor="accent1"/>
        <w:lang w:val="en-US"/>
      </w:rPr>
      <w:t>Error! No text of specified style in document.</w:t>
    </w:r>
    <w:r w:rsidRPr="00A97D91">
      <w:rPr>
        <w:noProof/>
        <w:color w:val="F58220" w:themeColor="accent1"/>
      </w:rPr>
      <w:fldChar w:fldCharType="end"/>
    </w:r>
    <w:r w:rsidRPr="00A97D91">
      <w:rPr>
        <w:noProof/>
        <w:color w:val="F58220" w:themeColor="accent1"/>
        <w:lang w:eastAsia="en-AU"/>
      </w:rPr>
      <w:drawing>
        <wp:anchor distT="0" distB="0" distL="114300" distR="114300" simplePos="0" relativeHeight="251658241" behindDoc="1" locked="0" layoutInCell="1" allowOverlap="0" wp14:anchorId="1D6CC56E" wp14:editId="70DECFB8">
          <wp:simplePos x="0" y="0"/>
          <wp:positionH relativeFrom="margin">
            <wp:posOffset>-12065</wp:posOffset>
          </wp:positionH>
          <wp:positionV relativeFrom="page">
            <wp:posOffset>381000</wp:posOffset>
          </wp:positionV>
          <wp:extent cx="1980000" cy="43200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7A322878" w14:textId="77777777" w:rsidR="0065167C" w:rsidRPr="00A97D91" w:rsidRDefault="0065167C">
    <w:pPr>
      <w:pStyle w:val="Header"/>
      <w:rPr>
        <w:b/>
        <w:color w:val="F58220"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04C658E"/>
    <w:multiLevelType w:val="hybridMultilevel"/>
    <w:tmpl w:val="86F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E5078"/>
    <w:multiLevelType w:val="multilevel"/>
    <w:tmpl w:val="34249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AEB0767"/>
    <w:multiLevelType w:val="hybridMultilevel"/>
    <w:tmpl w:val="48205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0268FA"/>
    <w:multiLevelType w:val="hybridMultilevel"/>
    <w:tmpl w:val="2196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4FE7850"/>
    <w:multiLevelType w:val="hybridMultilevel"/>
    <w:tmpl w:val="C2F81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B429E"/>
    <w:multiLevelType w:val="hybridMultilevel"/>
    <w:tmpl w:val="1C9AB8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ECA6891"/>
    <w:multiLevelType w:val="hybridMultilevel"/>
    <w:tmpl w:val="885C9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4A2ED4"/>
    <w:multiLevelType w:val="hybridMultilevel"/>
    <w:tmpl w:val="B5A4F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A21E8"/>
    <w:multiLevelType w:val="hybridMultilevel"/>
    <w:tmpl w:val="E1AE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F3FF8"/>
    <w:multiLevelType w:val="hybridMultilevel"/>
    <w:tmpl w:val="8CC2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673F1793"/>
    <w:multiLevelType w:val="hybridMultilevel"/>
    <w:tmpl w:val="AB8C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B3F03"/>
    <w:multiLevelType w:val="hybridMultilevel"/>
    <w:tmpl w:val="4C96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04D67"/>
    <w:multiLevelType w:val="hybridMultilevel"/>
    <w:tmpl w:val="F2323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51327"/>
    <w:multiLevelType w:val="hybridMultilevel"/>
    <w:tmpl w:val="E1A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
  </w:num>
  <w:num w:numId="4">
    <w:abstractNumId w:val="0"/>
  </w:num>
  <w:num w:numId="5">
    <w:abstractNumId w:val="11"/>
  </w:num>
  <w:num w:numId="6">
    <w:abstractNumId w:val="7"/>
  </w:num>
  <w:num w:numId="7">
    <w:abstractNumId w:val="14"/>
  </w:num>
  <w:num w:numId="8">
    <w:abstractNumId w:val="2"/>
  </w:num>
  <w:num w:numId="9">
    <w:abstractNumId w:val="2"/>
  </w:num>
  <w:num w:numId="10">
    <w:abstractNumId w:val="8"/>
  </w:num>
  <w:num w:numId="11">
    <w:abstractNumId w:val="16"/>
  </w:num>
  <w:num w:numId="12">
    <w:abstractNumId w:val="14"/>
  </w:num>
  <w:num w:numId="13">
    <w:abstractNumId w:val="14"/>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23"/>
  </w:num>
  <w:num w:numId="19">
    <w:abstractNumId w:val="18"/>
  </w:num>
  <w:num w:numId="20">
    <w:abstractNumId w:val="10"/>
  </w:num>
  <w:num w:numId="21">
    <w:abstractNumId w:val="13"/>
  </w:num>
  <w:num w:numId="22">
    <w:abstractNumId w:val="21"/>
  </w:num>
  <w:num w:numId="23">
    <w:abstractNumId w:val="15"/>
  </w:num>
  <w:num w:numId="24">
    <w:abstractNumId w:val="22"/>
  </w:num>
  <w:num w:numId="25">
    <w:abstractNumId w:val="12"/>
  </w:num>
  <w:num w:numId="26">
    <w:abstractNumId w:val="3"/>
  </w:num>
  <w:num w:numId="27">
    <w:abstractNumId w:val="24"/>
  </w:num>
  <w:num w:numId="28">
    <w:abstractNumId w:val="17"/>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DD"/>
    <w:rsid w:val="00000B35"/>
    <w:rsid w:val="00004D13"/>
    <w:rsid w:val="00005D98"/>
    <w:rsid w:val="0000616D"/>
    <w:rsid w:val="000114B6"/>
    <w:rsid w:val="00011C96"/>
    <w:rsid w:val="00013307"/>
    <w:rsid w:val="000141B9"/>
    <w:rsid w:val="00015DE4"/>
    <w:rsid w:val="00020318"/>
    <w:rsid w:val="00021FB8"/>
    <w:rsid w:val="00024A3E"/>
    <w:rsid w:val="00026252"/>
    <w:rsid w:val="00034A19"/>
    <w:rsid w:val="00036F9E"/>
    <w:rsid w:val="000378D7"/>
    <w:rsid w:val="00040EAD"/>
    <w:rsid w:val="000413B3"/>
    <w:rsid w:val="00044B79"/>
    <w:rsid w:val="00044D0B"/>
    <w:rsid w:val="0004755E"/>
    <w:rsid w:val="00053628"/>
    <w:rsid w:val="0005577E"/>
    <w:rsid w:val="0005584D"/>
    <w:rsid w:val="00055EB7"/>
    <w:rsid w:val="00057136"/>
    <w:rsid w:val="00057B71"/>
    <w:rsid w:val="00063C68"/>
    <w:rsid w:val="000641F5"/>
    <w:rsid w:val="00065637"/>
    <w:rsid w:val="000658F1"/>
    <w:rsid w:val="0007202C"/>
    <w:rsid w:val="00072B30"/>
    <w:rsid w:val="0007319C"/>
    <w:rsid w:val="000732AA"/>
    <w:rsid w:val="00073DCC"/>
    <w:rsid w:val="000767DD"/>
    <w:rsid w:val="000807D3"/>
    <w:rsid w:val="0008459A"/>
    <w:rsid w:val="00084F8B"/>
    <w:rsid w:val="00086D07"/>
    <w:rsid w:val="00086F71"/>
    <w:rsid w:val="00092C52"/>
    <w:rsid w:val="00093915"/>
    <w:rsid w:val="00094260"/>
    <w:rsid w:val="000949AD"/>
    <w:rsid w:val="00095109"/>
    <w:rsid w:val="00096B0F"/>
    <w:rsid w:val="000A1AD2"/>
    <w:rsid w:val="000A2246"/>
    <w:rsid w:val="000A3BD8"/>
    <w:rsid w:val="000A490E"/>
    <w:rsid w:val="000A5394"/>
    <w:rsid w:val="000B04C5"/>
    <w:rsid w:val="000B0813"/>
    <w:rsid w:val="000B0D1F"/>
    <w:rsid w:val="000B0EE5"/>
    <w:rsid w:val="000B148C"/>
    <w:rsid w:val="000B63CA"/>
    <w:rsid w:val="000B752A"/>
    <w:rsid w:val="000C0057"/>
    <w:rsid w:val="000C0666"/>
    <w:rsid w:val="000C14D9"/>
    <w:rsid w:val="000C15C7"/>
    <w:rsid w:val="000C3B35"/>
    <w:rsid w:val="000C4BA1"/>
    <w:rsid w:val="000C7130"/>
    <w:rsid w:val="000C775A"/>
    <w:rsid w:val="000D047F"/>
    <w:rsid w:val="000D0F80"/>
    <w:rsid w:val="000D0FAD"/>
    <w:rsid w:val="000D4EDE"/>
    <w:rsid w:val="000D6D6D"/>
    <w:rsid w:val="000D6E98"/>
    <w:rsid w:val="000D7346"/>
    <w:rsid w:val="000D7611"/>
    <w:rsid w:val="000E155A"/>
    <w:rsid w:val="000E1CAD"/>
    <w:rsid w:val="000E2460"/>
    <w:rsid w:val="000E3372"/>
    <w:rsid w:val="000E42D6"/>
    <w:rsid w:val="000E43AC"/>
    <w:rsid w:val="000F0279"/>
    <w:rsid w:val="000F583E"/>
    <w:rsid w:val="000F7E6E"/>
    <w:rsid w:val="001027DD"/>
    <w:rsid w:val="001040FD"/>
    <w:rsid w:val="001055BF"/>
    <w:rsid w:val="001063AD"/>
    <w:rsid w:val="00110A08"/>
    <w:rsid w:val="00113004"/>
    <w:rsid w:val="0011483B"/>
    <w:rsid w:val="001166BA"/>
    <w:rsid w:val="00123576"/>
    <w:rsid w:val="001242FC"/>
    <w:rsid w:val="00124B21"/>
    <w:rsid w:val="001263BA"/>
    <w:rsid w:val="001264E4"/>
    <w:rsid w:val="00126705"/>
    <w:rsid w:val="001327B8"/>
    <w:rsid w:val="00134339"/>
    <w:rsid w:val="0013471B"/>
    <w:rsid w:val="001352D4"/>
    <w:rsid w:val="0013744A"/>
    <w:rsid w:val="001507E0"/>
    <w:rsid w:val="00151D1C"/>
    <w:rsid w:val="00151EA0"/>
    <w:rsid w:val="0015591C"/>
    <w:rsid w:val="00157C98"/>
    <w:rsid w:val="001621D8"/>
    <w:rsid w:val="001653B6"/>
    <w:rsid w:val="00165723"/>
    <w:rsid w:val="001658D4"/>
    <w:rsid w:val="00172E04"/>
    <w:rsid w:val="001743F1"/>
    <w:rsid w:val="00174B0F"/>
    <w:rsid w:val="001755DB"/>
    <w:rsid w:val="00175CA5"/>
    <w:rsid w:val="00176BD1"/>
    <w:rsid w:val="001800B9"/>
    <w:rsid w:val="0018235E"/>
    <w:rsid w:val="0018247B"/>
    <w:rsid w:val="00182921"/>
    <w:rsid w:val="0018436E"/>
    <w:rsid w:val="0018506F"/>
    <w:rsid w:val="001912C9"/>
    <w:rsid w:val="00196962"/>
    <w:rsid w:val="001A130B"/>
    <w:rsid w:val="001A3763"/>
    <w:rsid w:val="001A422E"/>
    <w:rsid w:val="001A4A41"/>
    <w:rsid w:val="001A664F"/>
    <w:rsid w:val="001B10FB"/>
    <w:rsid w:val="001B2A32"/>
    <w:rsid w:val="001B2CB2"/>
    <w:rsid w:val="001B2DB7"/>
    <w:rsid w:val="001B2E0E"/>
    <w:rsid w:val="001C13BD"/>
    <w:rsid w:val="001C1E92"/>
    <w:rsid w:val="001C4EB1"/>
    <w:rsid w:val="001C6A23"/>
    <w:rsid w:val="001D0C02"/>
    <w:rsid w:val="001D5629"/>
    <w:rsid w:val="001E0F51"/>
    <w:rsid w:val="001E20C5"/>
    <w:rsid w:val="001E3834"/>
    <w:rsid w:val="001E423B"/>
    <w:rsid w:val="001E4D79"/>
    <w:rsid w:val="001E55BF"/>
    <w:rsid w:val="001E614D"/>
    <w:rsid w:val="001E6703"/>
    <w:rsid w:val="001F6E1A"/>
    <w:rsid w:val="001F780A"/>
    <w:rsid w:val="001F7917"/>
    <w:rsid w:val="00200613"/>
    <w:rsid w:val="00201263"/>
    <w:rsid w:val="00201C55"/>
    <w:rsid w:val="0021045D"/>
    <w:rsid w:val="0021101B"/>
    <w:rsid w:val="00212F5C"/>
    <w:rsid w:val="002157EB"/>
    <w:rsid w:val="0021690C"/>
    <w:rsid w:val="00217C69"/>
    <w:rsid w:val="00220550"/>
    <w:rsid w:val="002213C9"/>
    <w:rsid w:val="002252CB"/>
    <w:rsid w:val="002301A2"/>
    <w:rsid w:val="00233C9A"/>
    <w:rsid w:val="00236C2D"/>
    <w:rsid w:val="00236CAC"/>
    <w:rsid w:val="002374B7"/>
    <w:rsid w:val="0023773B"/>
    <w:rsid w:val="00240126"/>
    <w:rsid w:val="00240D4E"/>
    <w:rsid w:val="00241C19"/>
    <w:rsid w:val="0024304D"/>
    <w:rsid w:val="0024336B"/>
    <w:rsid w:val="0024372D"/>
    <w:rsid w:val="00244826"/>
    <w:rsid w:val="00247971"/>
    <w:rsid w:val="00247ACA"/>
    <w:rsid w:val="00250025"/>
    <w:rsid w:val="00252E6A"/>
    <w:rsid w:val="0025782A"/>
    <w:rsid w:val="002610A0"/>
    <w:rsid w:val="002661A6"/>
    <w:rsid w:val="00266C23"/>
    <w:rsid w:val="002678ED"/>
    <w:rsid w:val="00270716"/>
    <w:rsid w:val="00271BE5"/>
    <w:rsid w:val="0028024E"/>
    <w:rsid w:val="00280CAA"/>
    <w:rsid w:val="00282FA5"/>
    <w:rsid w:val="00282FD3"/>
    <w:rsid w:val="002850A6"/>
    <w:rsid w:val="00286703"/>
    <w:rsid w:val="00286EAD"/>
    <w:rsid w:val="0029245D"/>
    <w:rsid w:val="0029389B"/>
    <w:rsid w:val="002A1894"/>
    <w:rsid w:val="002A1E2F"/>
    <w:rsid w:val="002A2188"/>
    <w:rsid w:val="002A36F2"/>
    <w:rsid w:val="002A4B4D"/>
    <w:rsid w:val="002A7304"/>
    <w:rsid w:val="002A7D14"/>
    <w:rsid w:val="002B02B7"/>
    <w:rsid w:val="002B0913"/>
    <w:rsid w:val="002B28E4"/>
    <w:rsid w:val="002B3175"/>
    <w:rsid w:val="002B4398"/>
    <w:rsid w:val="002B6643"/>
    <w:rsid w:val="002B7504"/>
    <w:rsid w:val="002B7909"/>
    <w:rsid w:val="002C0D97"/>
    <w:rsid w:val="002C1C06"/>
    <w:rsid w:val="002C66D1"/>
    <w:rsid w:val="002C7065"/>
    <w:rsid w:val="002C7EF7"/>
    <w:rsid w:val="002C7F4A"/>
    <w:rsid w:val="002D1B3E"/>
    <w:rsid w:val="002D2804"/>
    <w:rsid w:val="002D4B6C"/>
    <w:rsid w:val="002D5274"/>
    <w:rsid w:val="002D57C2"/>
    <w:rsid w:val="002D5A51"/>
    <w:rsid w:val="002E1B16"/>
    <w:rsid w:val="002E6726"/>
    <w:rsid w:val="002F0C2C"/>
    <w:rsid w:val="002F2B3E"/>
    <w:rsid w:val="002F4BD1"/>
    <w:rsid w:val="002F4C50"/>
    <w:rsid w:val="002F7100"/>
    <w:rsid w:val="00300655"/>
    <w:rsid w:val="00303D18"/>
    <w:rsid w:val="00307ADD"/>
    <w:rsid w:val="00307C08"/>
    <w:rsid w:val="0031140C"/>
    <w:rsid w:val="00311E3E"/>
    <w:rsid w:val="00312A66"/>
    <w:rsid w:val="003130CA"/>
    <w:rsid w:val="00314D3B"/>
    <w:rsid w:val="00315AAB"/>
    <w:rsid w:val="003161C0"/>
    <w:rsid w:val="0032372A"/>
    <w:rsid w:val="00324203"/>
    <w:rsid w:val="00324368"/>
    <w:rsid w:val="00324641"/>
    <w:rsid w:val="00325C13"/>
    <w:rsid w:val="00327820"/>
    <w:rsid w:val="003320FA"/>
    <w:rsid w:val="00334BEC"/>
    <w:rsid w:val="0033501F"/>
    <w:rsid w:val="00335917"/>
    <w:rsid w:val="003401E8"/>
    <w:rsid w:val="00340FEC"/>
    <w:rsid w:val="003517AE"/>
    <w:rsid w:val="00352360"/>
    <w:rsid w:val="00352B5E"/>
    <w:rsid w:val="00356552"/>
    <w:rsid w:val="00371885"/>
    <w:rsid w:val="00371F54"/>
    <w:rsid w:val="00373FDB"/>
    <w:rsid w:val="00374ED1"/>
    <w:rsid w:val="00375CA6"/>
    <w:rsid w:val="00376BF7"/>
    <w:rsid w:val="0037770C"/>
    <w:rsid w:val="00377C8B"/>
    <w:rsid w:val="00383A95"/>
    <w:rsid w:val="00385CA0"/>
    <w:rsid w:val="0039211F"/>
    <w:rsid w:val="003928CD"/>
    <w:rsid w:val="00396B53"/>
    <w:rsid w:val="00397CC6"/>
    <w:rsid w:val="003A2733"/>
    <w:rsid w:val="003A3021"/>
    <w:rsid w:val="003A627E"/>
    <w:rsid w:val="003A66F6"/>
    <w:rsid w:val="003A6C39"/>
    <w:rsid w:val="003A79EE"/>
    <w:rsid w:val="003B264A"/>
    <w:rsid w:val="003B2721"/>
    <w:rsid w:val="003B6592"/>
    <w:rsid w:val="003B6E16"/>
    <w:rsid w:val="003C01F2"/>
    <w:rsid w:val="003C180A"/>
    <w:rsid w:val="003C1E25"/>
    <w:rsid w:val="003C2CAC"/>
    <w:rsid w:val="003C7107"/>
    <w:rsid w:val="003C77AE"/>
    <w:rsid w:val="003C795D"/>
    <w:rsid w:val="003C7C05"/>
    <w:rsid w:val="003D0184"/>
    <w:rsid w:val="003D27CB"/>
    <w:rsid w:val="003D329D"/>
    <w:rsid w:val="003E40EC"/>
    <w:rsid w:val="003E6BF6"/>
    <w:rsid w:val="003F0F0D"/>
    <w:rsid w:val="003F2A2C"/>
    <w:rsid w:val="003F7C64"/>
    <w:rsid w:val="0040173E"/>
    <w:rsid w:val="00402856"/>
    <w:rsid w:val="00406B8D"/>
    <w:rsid w:val="00411D8D"/>
    <w:rsid w:val="00411E5A"/>
    <w:rsid w:val="00412539"/>
    <w:rsid w:val="00413682"/>
    <w:rsid w:val="00413C56"/>
    <w:rsid w:val="00414794"/>
    <w:rsid w:val="00414B22"/>
    <w:rsid w:val="00421EA0"/>
    <w:rsid w:val="004249CD"/>
    <w:rsid w:val="00431333"/>
    <w:rsid w:val="00431F3A"/>
    <w:rsid w:val="00435339"/>
    <w:rsid w:val="00436A8C"/>
    <w:rsid w:val="00441A7B"/>
    <w:rsid w:val="00441AF0"/>
    <w:rsid w:val="00442B85"/>
    <w:rsid w:val="0044447D"/>
    <w:rsid w:val="004506D2"/>
    <w:rsid w:val="00450928"/>
    <w:rsid w:val="00457248"/>
    <w:rsid w:val="00460536"/>
    <w:rsid w:val="004617E4"/>
    <w:rsid w:val="00463FA8"/>
    <w:rsid w:val="00465765"/>
    <w:rsid w:val="0046743E"/>
    <w:rsid w:val="00472CBC"/>
    <w:rsid w:val="004770C2"/>
    <w:rsid w:val="00484F82"/>
    <w:rsid w:val="00493DAA"/>
    <w:rsid w:val="00494335"/>
    <w:rsid w:val="00495A4C"/>
    <w:rsid w:val="00495A57"/>
    <w:rsid w:val="0049632C"/>
    <w:rsid w:val="004967A1"/>
    <w:rsid w:val="004A1F43"/>
    <w:rsid w:val="004A687C"/>
    <w:rsid w:val="004B584E"/>
    <w:rsid w:val="004B6FBF"/>
    <w:rsid w:val="004C1106"/>
    <w:rsid w:val="004C24BD"/>
    <w:rsid w:val="004C3F57"/>
    <w:rsid w:val="004C404F"/>
    <w:rsid w:val="004C6D4B"/>
    <w:rsid w:val="004C7866"/>
    <w:rsid w:val="004D4C84"/>
    <w:rsid w:val="004D513B"/>
    <w:rsid w:val="004D6316"/>
    <w:rsid w:val="004E1E1A"/>
    <w:rsid w:val="004E1FD3"/>
    <w:rsid w:val="004E2269"/>
    <w:rsid w:val="004E237C"/>
    <w:rsid w:val="004E5171"/>
    <w:rsid w:val="004E579B"/>
    <w:rsid w:val="004F0DDC"/>
    <w:rsid w:val="004F3339"/>
    <w:rsid w:val="004F4069"/>
    <w:rsid w:val="004F72A2"/>
    <w:rsid w:val="004F755D"/>
    <w:rsid w:val="004F7BF8"/>
    <w:rsid w:val="005026D4"/>
    <w:rsid w:val="00503A51"/>
    <w:rsid w:val="005070D4"/>
    <w:rsid w:val="005074BA"/>
    <w:rsid w:val="00512309"/>
    <w:rsid w:val="0051470B"/>
    <w:rsid w:val="0051695D"/>
    <w:rsid w:val="005201EE"/>
    <w:rsid w:val="005222FB"/>
    <w:rsid w:val="00531602"/>
    <w:rsid w:val="00532E34"/>
    <w:rsid w:val="00542522"/>
    <w:rsid w:val="005440B0"/>
    <w:rsid w:val="0054526E"/>
    <w:rsid w:val="005458BD"/>
    <w:rsid w:val="005476B5"/>
    <w:rsid w:val="00557A31"/>
    <w:rsid w:val="005602AE"/>
    <w:rsid w:val="005602DA"/>
    <w:rsid w:val="00561D94"/>
    <w:rsid w:val="005702D6"/>
    <w:rsid w:val="00571F1B"/>
    <w:rsid w:val="005730D2"/>
    <w:rsid w:val="00573327"/>
    <w:rsid w:val="00573E48"/>
    <w:rsid w:val="00575969"/>
    <w:rsid w:val="005760CB"/>
    <w:rsid w:val="00576B26"/>
    <w:rsid w:val="00576E77"/>
    <w:rsid w:val="00584E84"/>
    <w:rsid w:val="00584F24"/>
    <w:rsid w:val="005A0118"/>
    <w:rsid w:val="005A3F63"/>
    <w:rsid w:val="005A59D0"/>
    <w:rsid w:val="005A7136"/>
    <w:rsid w:val="005B073E"/>
    <w:rsid w:val="005B227F"/>
    <w:rsid w:val="005B7801"/>
    <w:rsid w:val="005B7E43"/>
    <w:rsid w:val="005C160C"/>
    <w:rsid w:val="005C5891"/>
    <w:rsid w:val="005C7AFA"/>
    <w:rsid w:val="005C7C48"/>
    <w:rsid w:val="005D08D0"/>
    <w:rsid w:val="005D386E"/>
    <w:rsid w:val="005D4EE7"/>
    <w:rsid w:val="005D5FAE"/>
    <w:rsid w:val="005E1106"/>
    <w:rsid w:val="005E1333"/>
    <w:rsid w:val="005E3B69"/>
    <w:rsid w:val="005F29B7"/>
    <w:rsid w:val="005F5039"/>
    <w:rsid w:val="005F728C"/>
    <w:rsid w:val="00600173"/>
    <w:rsid w:val="006008E4"/>
    <w:rsid w:val="006043D6"/>
    <w:rsid w:val="00606263"/>
    <w:rsid w:val="00606EB5"/>
    <w:rsid w:val="006113F9"/>
    <w:rsid w:val="006179BF"/>
    <w:rsid w:val="00617BD7"/>
    <w:rsid w:val="00617FDA"/>
    <w:rsid w:val="0062116F"/>
    <w:rsid w:val="00621260"/>
    <w:rsid w:val="00626087"/>
    <w:rsid w:val="006262DA"/>
    <w:rsid w:val="006306F7"/>
    <w:rsid w:val="006309FA"/>
    <w:rsid w:val="006312B5"/>
    <w:rsid w:val="00634E4C"/>
    <w:rsid w:val="00636B8B"/>
    <w:rsid w:val="00636BFF"/>
    <w:rsid w:val="006427FE"/>
    <w:rsid w:val="006506C1"/>
    <w:rsid w:val="00650E52"/>
    <w:rsid w:val="006512DB"/>
    <w:rsid w:val="0065167C"/>
    <w:rsid w:val="00651CFE"/>
    <w:rsid w:val="0065747A"/>
    <w:rsid w:val="00657FCC"/>
    <w:rsid w:val="0066674D"/>
    <w:rsid w:val="00666A78"/>
    <w:rsid w:val="00672A3F"/>
    <w:rsid w:val="00674BBB"/>
    <w:rsid w:val="00676C12"/>
    <w:rsid w:val="006803C8"/>
    <w:rsid w:val="00683078"/>
    <w:rsid w:val="006841B2"/>
    <w:rsid w:val="006860F2"/>
    <w:rsid w:val="00686BEB"/>
    <w:rsid w:val="00687D08"/>
    <w:rsid w:val="006909E2"/>
    <w:rsid w:val="00690EA8"/>
    <w:rsid w:val="0069243D"/>
    <w:rsid w:val="0069375D"/>
    <w:rsid w:val="0069407C"/>
    <w:rsid w:val="0069574E"/>
    <w:rsid w:val="006A1631"/>
    <w:rsid w:val="006A1921"/>
    <w:rsid w:val="006A1988"/>
    <w:rsid w:val="006A2303"/>
    <w:rsid w:val="006A4553"/>
    <w:rsid w:val="006A47C3"/>
    <w:rsid w:val="006B0158"/>
    <w:rsid w:val="006B330D"/>
    <w:rsid w:val="006C0FF5"/>
    <w:rsid w:val="006C2B17"/>
    <w:rsid w:val="006C3321"/>
    <w:rsid w:val="006D1B91"/>
    <w:rsid w:val="006D5C84"/>
    <w:rsid w:val="006E113F"/>
    <w:rsid w:val="006E1C18"/>
    <w:rsid w:val="006E6F70"/>
    <w:rsid w:val="006F145A"/>
    <w:rsid w:val="006F27CB"/>
    <w:rsid w:val="006F3581"/>
    <w:rsid w:val="006F359B"/>
    <w:rsid w:val="006F3E47"/>
    <w:rsid w:val="006F5865"/>
    <w:rsid w:val="00700F56"/>
    <w:rsid w:val="00701EC6"/>
    <w:rsid w:val="00705779"/>
    <w:rsid w:val="00706179"/>
    <w:rsid w:val="00710701"/>
    <w:rsid w:val="007134D5"/>
    <w:rsid w:val="00714F78"/>
    <w:rsid w:val="007170F7"/>
    <w:rsid w:val="00721291"/>
    <w:rsid w:val="007253B8"/>
    <w:rsid w:val="007314A2"/>
    <w:rsid w:val="00731F3A"/>
    <w:rsid w:val="00736E7D"/>
    <w:rsid w:val="00737DA6"/>
    <w:rsid w:val="00745544"/>
    <w:rsid w:val="00750068"/>
    <w:rsid w:val="0075016C"/>
    <w:rsid w:val="007509A6"/>
    <w:rsid w:val="00753F83"/>
    <w:rsid w:val="007540FF"/>
    <w:rsid w:val="007541B0"/>
    <w:rsid w:val="0075469B"/>
    <w:rsid w:val="00754C90"/>
    <w:rsid w:val="00755163"/>
    <w:rsid w:val="00756AAB"/>
    <w:rsid w:val="00757F63"/>
    <w:rsid w:val="00760019"/>
    <w:rsid w:val="0076077B"/>
    <w:rsid w:val="00760ED6"/>
    <w:rsid w:val="007610D2"/>
    <w:rsid w:val="007636C3"/>
    <w:rsid w:val="007645AE"/>
    <w:rsid w:val="00764992"/>
    <w:rsid w:val="00764E48"/>
    <w:rsid w:val="00767831"/>
    <w:rsid w:val="00770FCD"/>
    <w:rsid w:val="0077479F"/>
    <w:rsid w:val="00774D9F"/>
    <w:rsid w:val="00774DC9"/>
    <w:rsid w:val="00775AA0"/>
    <w:rsid w:val="00776B10"/>
    <w:rsid w:val="007770FA"/>
    <w:rsid w:val="007844C7"/>
    <w:rsid w:val="00784EBA"/>
    <w:rsid w:val="00785F52"/>
    <w:rsid w:val="007905D6"/>
    <w:rsid w:val="00791738"/>
    <w:rsid w:val="00791780"/>
    <w:rsid w:val="00793C55"/>
    <w:rsid w:val="00794F89"/>
    <w:rsid w:val="007A0EB7"/>
    <w:rsid w:val="007A1A58"/>
    <w:rsid w:val="007A2369"/>
    <w:rsid w:val="007A50D2"/>
    <w:rsid w:val="007B7977"/>
    <w:rsid w:val="007C08B1"/>
    <w:rsid w:val="007C0FEF"/>
    <w:rsid w:val="007C19BB"/>
    <w:rsid w:val="007C1F90"/>
    <w:rsid w:val="007C2CC2"/>
    <w:rsid w:val="007C38BD"/>
    <w:rsid w:val="007C69E3"/>
    <w:rsid w:val="007C6B8C"/>
    <w:rsid w:val="007C79AA"/>
    <w:rsid w:val="007D31DA"/>
    <w:rsid w:val="007D5960"/>
    <w:rsid w:val="007D5AED"/>
    <w:rsid w:val="007D719C"/>
    <w:rsid w:val="007D72C5"/>
    <w:rsid w:val="007D7FD2"/>
    <w:rsid w:val="007E1B5C"/>
    <w:rsid w:val="007E525D"/>
    <w:rsid w:val="007E5855"/>
    <w:rsid w:val="007F0323"/>
    <w:rsid w:val="007F0614"/>
    <w:rsid w:val="007F379E"/>
    <w:rsid w:val="007F471C"/>
    <w:rsid w:val="007F7A70"/>
    <w:rsid w:val="00800C90"/>
    <w:rsid w:val="00801114"/>
    <w:rsid w:val="008016E6"/>
    <w:rsid w:val="00801E0D"/>
    <w:rsid w:val="00802E5A"/>
    <w:rsid w:val="0080517E"/>
    <w:rsid w:val="008125F8"/>
    <w:rsid w:val="008171E4"/>
    <w:rsid w:val="00817854"/>
    <w:rsid w:val="00827E71"/>
    <w:rsid w:val="00837025"/>
    <w:rsid w:val="00843144"/>
    <w:rsid w:val="008436F8"/>
    <w:rsid w:val="00844B1D"/>
    <w:rsid w:val="00844F5C"/>
    <w:rsid w:val="00845843"/>
    <w:rsid w:val="00846D34"/>
    <w:rsid w:val="008515C8"/>
    <w:rsid w:val="00851749"/>
    <w:rsid w:val="00852D9F"/>
    <w:rsid w:val="008540D9"/>
    <w:rsid w:val="00855252"/>
    <w:rsid w:val="00856414"/>
    <w:rsid w:val="00856BDA"/>
    <w:rsid w:val="00857001"/>
    <w:rsid w:val="00857697"/>
    <w:rsid w:val="00857FB5"/>
    <w:rsid w:val="008637EC"/>
    <w:rsid w:val="00867A56"/>
    <w:rsid w:val="00870BC6"/>
    <w:rsid w:val="0087173A"/>
    <w:rsid w:val="00872A7A"/>
    <w:rsid w:val="0087738D"/>
    <w:rsid w:val="00877751"/>
    <w:rsid w:val="0087777A"/>
    <w:rsid w:val="0088036D"/>
    <w:rsid w:val="00881155"/>
    <w:rsid w:val="008817C0"/>
    <w:rsid w:val="00881FDB"/>
    <w:rsid w:val="00882370"/>
    <w:rsid w:val="00882892"/>
    <w:rsid w:val="00885A14"/>
    <w:rsid w:val="00885B38"/>
    <w:rsid w:val="0088689B"/>
    <w:rsid w:val="00890FA0"/>
    <w:rsid w:val="008947BF"/>
    <w:rsid w:val="00895C87"/>
    <w:rsid w:val="00897062"/>
    <w:rsid w:val="00897F2B"/>
    <w:rsid w:val="008A02AA"/>
    <w:rsid w:val="008A214D"/>
    <w:rsid w:val="008A72D2"/>
    <w:rsid w:val="008A74A3"/>
    <w:rsid w:val="008B6868"/>
    <w:rsid w:val="008B6D24"/>
    <w:rsid w:val="008B7090"/>
    <w:rsid w:val="008C1986"/>
    <w:rsid w:val="008C48FA"/>
    <w:rsid w:val="008C6A43"/>
    <w:rsid w:val="008D080C"/>
    <w:rsid w:val="008D24B1"/>
    <w:rsid w:val="008D329F"/>
    <w:rsid w:val="008D37D4"/>
    <w:rsid w:val="008D6437"/>
    <w:rsid w:val="008D665D"/>
    <w:rsid w:val="008D6EDF"/>
    <w:rsid w:val="008E0899"/>
    <w:rsid w:val="008E09E3"/>
    <w:rsid w:val="008E2F1B"/>
    <w:rsid w:val="008E3EF5"/>
    <w:rsid w:val="008E54C3"/>
    <w:rsid w:val="008E6784"/>
    <w:rsid w:val="008F33B5"/>
    <w:rsid w:val="008F3B40"/>
    <w:rsid w:val="008F6E94"/>
    <w:rsid w:val="00902E76"/>
    <w:rsid w:val="00906799"/>
    <w:rsid w:val="009104BB"/>
    <w:rsid w:val="00911B58"/>
    <w:rsid w:val="00912D76"/>
    <w:rsid w:val="009168CC"/>
    <w:rsid w:val="0091780E"/>
    <w:rsid w:val="00922193"/>
    <w:rsid w:val="00924152"/>
    <w:rsid w:val="00925D6E"/>
    <w:rsid w:val="00925FE6"/>
    <w:rsid w:val="00926DFB"/>
    <w:rsid w:val="00927CD5"/>
    <w:rsid w:val="0093194D"/>
    <w:rsid w:val="00931FE5"/>
    <w:rsid w:val="00933B9C"/>
    <w:rsid w:val="0093464F"/>
    <w:rsid w:val="00934C3F"/>
    <w:rsid w:val="009410E3"/>
    <w:rsid w:val="009414BB"/>
    <w:rsid w:val="009417AE"/>
    <w:rsid w:val="009421CA"/>
    <w:rsid w:val="00945B3F"/>
    <w:rsid w:val="00946E85"/>
    <w:rsid w:val="009477D9"/>
    <w:rsid w:val="00950DCB"/>
    <w:rsid w:val="00952D4C"/>
    <w:rsid w:val="00955540"/>
    <w:rsid w:val="00960246"/>
    <w:rsid w:val="00963525"/>
    <w:rsid w:val="009635C4"/>
    <w:rsid w:val="00964E2C"/>
    <w:rsid w:val="0096549F"/>
    <w:rsid w:val="009657E7"/>
    <w:rsid w:val="009720E1"/>
    <w:rsid w:val="00974F0E"/>
    <w:rsid w:val="00975A93"/>
    <w:rsid w:val="00975CD7"/>
    <w:rsid w:val="00977283"/>
    <w:rsid w:val="00982BD5"/>
    <w:rsid w:val="00983D2A"/>
    <w:rsid w:val="00983F47"/>
    <w:rsid w:val="0098448A"/>
    <w:rsid w:val="00985E70"/>
    <w:rsid w:val="00986E61"/>
    <w:rsid w:val="00990409"/>
    <w:rsid w:val="009904FA"/>
    <w:rsid w:val="00990CE3"/>
    <w:rsid w:val="00996B48"/>
    <w:rsid w:val="009979F4"/>
    <w:rsid w:val="009A1D38"/>
    <w:rsid w:val="009A45B2"/>
    <w:rsid w:val="009A4DA4"/>
    <w:rsid w:val="009A5585"/>
    <w:rsid w:val="009A59D5"/>
    <w:rsid w:val="009B38FC"/>
    <w:rsid w:val="009B61D2"/>
    <w:rsid w:val="009C4073"/>
    <w:rsid w:val="009C4284"/>
    <w:rsid w:val="009C7BE6"/>
    <w:rsid w:val="009D1D6B"/>
    <w:rsid w:val="009D2DDD"/>
    <w:rsid w:val="009E2F4A"/>
    <w:rsid w:val="009E48D1"/>
    <w:rsid w:val="009F181A"/>
    <w:rsid w:val="009F5FA6"/>
    <w:rsid w:val="009F6733"/>
    <w:rsid w:val="009F6EDA"/>
    <w:rsid w:val="009F7198"/>
    <w:rsid w:val="009F798D"/>
    <w:rsid w:val="00A02828"/>
    <w:rsid w:val="00A04304"/>
    <w:rsid w:val="00A10DA6"/>
    <w:rsid w:val="00A10E90"/>
    <w:rsid w:val="00A114A4"/>
    <w:rsid w:val="00A151E9"/>
    <w:rsid w:val="00A15DBB"/>
    <w:rsid w:val="00A21768"/>
    <w:rsid w:val="00A2368D"/>
    <w:rsid w:val="00A24340"/>
    <w:rsid w:val="00A24EAF"/>
    <w:rsid w:val="00A259F2"/>
    <w:rsid w:val="00A323BD"/>
    <w:rsid w:val="00A33802"/>
    <w:rsid w:val="00A36E70"/>
    <w:rsid w:val="00A37162"/>
    <w:rsid w:val="00A37E51"/>
    <w:rsid w:val="00A40770"/>
    <w:rsid w:val="00A40D44"/>
    <w:rsid w:val="00A454C3"/>
    <w:rsid w:val="00A46945"/>
    <w:rsid w:val="00A53690"/>
    <w:rsid w:val="00A537AD"/>
    <w:rsid w:val="00A5587A"/>
    <w:rsid w:val="00A6205C"/>
    <w:rsid w:val="00A6208D"/>
    <w:rsid w:val="00A62D31"/>
    <w:rsid w:val="00A63380"/>
    <w:rsid w:val="00A663CE"/>
    <w:rsid w:val="00A8204C"/>
    <w:rsid w:val="00A82B17"/>
    <w:rsid w:val="00A8584C"/>
    <w:rsid w:val="00A865C7"/>
    <w:rsid w:val="00A9076A"/>
    <w:rsid w:val="00A92B94"/>
    <w:rsid w:val="00A93C67"/>
    <w:rsid w:val="00A93D36"/>
    <w:rsid w:val="00A97D91"/>
    <w:rsid w:val="00A97E3B"/>
    <w:rsid w:val="00AA1088"/>
    <w:rsid w:val="00AA1538"/>
    <w:rsid w:val="00AA20A1"/>
    <w:rsid w:val="00AA2A0D"/>
    <w:rsid w:val="00AA41F2"/>
    <w:rsid w:val="00AB039E"/>
    <w:rsid w:val="00AB4206"/>
    <w:rsid w:val="00AB51E5"/>
    <w:rsid w:val="00AC02CD"/>
    <w:rsid w:val="00AC26DD"/>
    <w:rsid w:val="00AC2DD5"/>
    <w:rsid w:val="00AC43DF"/>
    <w:rsid w:val="00AC5035"/>
    <w:rsid w:val="00AC5712"/>
    <w:rsid w:val="00AC72FC"/>
    <w:rsid w:val="00AC7E54"/>
    <w:rsid w:val="00AD6D9D"/>
    <w:rsid w:val="00AD7256"/>
    <w:rsid w:val="00AD7D8E"/>
    <w:rsid w:val="00AD7EAF"/>
    <w:rsid w:val="00AE22F4"/>
    <w:rsid w:val="00AE6A4E"/>
    <w:rsid w:val="00AE7524"/>
    <w:rsid w:val="00AE7B98"/>
    <w:rsid w:val="00AF129F"/>
    <w:rsid w:val="00AF24BF"/>
    <w:rsid w:val="00AF7988"/>
    <w:rsid w:val="00B00F2A"/>
    <w:rsid w:val="00B0129F"/>
    <w:rsid w:val="00B04E29"/>
    <w:rsid w:val="00B1287B"/>
    <w:rsid w:val="00B12DC9"/>
    <w:rsid w:val="00B13F84"/>
    <w:rsid w:val="00B14018"/>
    <w:rsid w:val="00B14604"/>
    <w:rsid w:val="00B15ABA"/>
    <w:rsid w:val="00B206D4"/>
    <w:rsid w:val="00B2384D"/>
    <w:rsid w:val="00B24FA1"/>
    <w:rsid w:val="00B30461"/>
    <w:rsid w:val="00B33568"/>
    <w:rsid w:val="00B3397F"/>
    <w:rsid w:val="00B34339"/>
    <w:rsid w:val="00B41678"/>
    <w:rsid w:val="00B41ED8"/>
    <w:rsid w:val="00B42567"/>
    <w:rsid w:val="00B42B2F"/>
    <w:rsid w:val="00B44900"/>
    <w:rsid w:val="00B46555"/>
    <w:rsid w:val="00B472E1"/>
    <w:rsid w:val="00B52821"/>
    <w:rsid w:val="00B61D9C"/>
    <w:rsid w:val="00B64AC6"/>
    <w:rsid w:val="00B65B2B"/>
    <w:rsid w:val="00B66855"/>
    <w:rsid w:val="00B71170"/>
    <w:rsid w:val="00B74908"/>
    <w:rsid w:val="00B75DEB"/>
    <w:rsid w:val="00B77FFD"/>
    <w:rsid w:val="00B80BCE"/>
    <w:rsid w:val="00B81524"/>
    <w:rsid w:val="00B81740"/>
    <w:rsid w:val="00B85702"/>
    <w:rsid w:val="00B8594B"/>
    <w:rsid w:val="00B85D7B"/>
    <w:rsid w:val="00B900EA"/>
    <w:rsid w:val="00B91069"/>
    <w:rsid w:val="00B92842"/>
    <w:rsid w:val="00B936C7"/>
    <w:rsid w:val="00B94FA2"/>
    <w:rsid w:val="00B97506"/>
    <w:rsid w:val="00BA0A85"/>
    <w:rsid w:val="00BA2713"/>
    <w:rsid w:val="00BA2941"/>
    <w:rsid w:val="00BA3AB8"/>
    <w:rsid w:val="00BA4C61"/>
    <w:rsid w:val="00BA627A"/>
    <w:rsid w:val="00BB1B78"/>
    <w:rsid w:val="00BB22FA"/>
    <w:rsid w:val="00BB3E80"/>
    <w:rsid w:val="00BB6484"/>
    <w:rsid w:val="00BC3192"/>
    <w:rsid w:val="00BC35F3"/>
    <w:rsid w:val="00BC7F41"/>
    <w:rsid w:val="00BD12A1"/>
    <w:rsid w:val="00BD14AE"/>
    <w:rsid w:val="00BD1C47"/>
    <w:rsid w:val="00BD40E0"/>
    <w:rsid w:val="00BD7B6C"/>
    <w:rsid w:val="00BD7B83"/>
    <w:rsid w:val="00BE020B"/>
    <w:rsid w:val="00BE0C87"/>
    <w:rsid w:val="00BE35EE"/>
    <w:rsid w:val="00BE3FA4"/>
    <w:rsid w:val="00BF17C6"/>
    <w:rsid w:val="00BF3384"/>
    <w:rsid w:val="00BF3A7A"/>
    <w:rsid w:val="00BF7525"/>
    <w:rsid w:val="00C00FDA"/>
    <w:rsid w:val="00C02EB9"/>
    <w:rsid w:val="00C04E4B"/>
    <w:rsid w:val="00C06537"/>
    <w:rsid w:val="00C06E3A"/>
    <w:rsid w:val="00C07D71"/>
    <w:rsid w:val="00C07E13"/>
    <w:rsid w:val="00C100AF"/>
    <w:rsid w:val="00C11B56"/>
    <w:rsid w:val="00C16045"/>
    <w:rsid w:val="00C1677F"/>
    <w:rsid w:val="00C179EA"/>
    <w:rsid w:val="00C2119E"/>
    <w:rsid w:val="00C21E27"/>
    <w:rsid w:val="00C23F62"/>
    <w:rsid w:val="00C24766"/>
    <w:rsid w:val="00C26CD5"/>
    <w:rsid w:val="00C30A73"/>
    <w:rsid w:val="00C3521C"/>
    <w:rsid w:val="00C43E10"/>
    <w:rsid w:val="00C440E2"/>
    <w:rsid w:val="00C479BF"/>
    <w:rsid w:val="00C51339"/>
    <w:rsid w:val="00C5295B"/>
    <w:rsid w:val="00C52DA0"/>
    <w:rsid w:val="00C53E02"/>
    <w:rsid w:val="00C57020"/>
    <w:rsid w:val="00C62BF5"/>
    <w:rsid w:val="00C636DA"/>
    <w:rsid w:val="00C63DC0"/>
    <w:rsid w:val="00C645DB"/>
    <w:rsid w:val="00C658A2"/>
    <w:rsid w:val="00C67E22"/>
    <w:rsid w:val="00C71438"/>
    <w:rsid w:val="00C72271"/>
    <w:rsid w:val="00C81199"/>
    <w:rsid w:val="00C81356"/>
    <w:rsid w:val="00C828DC"/>
    <w:rsid w:val="00C87DA0"/>
    <w:rsid w:val="00C9654B"/>
    <w:rsid w:val="00C97B60"/>
    <w:rsid w:val="00CA1C81"/>
    <w:rsid w:val="00CA6D74"/>
    <w:rsid w:val="00CA6FF9"/>
    <w:rsid w:val="00CB4238"/>
    <w:rsid w:val="00CB4698"/>
    <w:rsid w:val="00CB53DD"/>
    <w:rsid w:val="00CB5938"/>
    <w:rsid w:val="00CB6ADB"/>
    <w:rsid w:val="00CB7E8F"/>
    <w:rsid w:val="00CC1A64"/>
    <w:rsid w:val="00CC1B15"/>
    <w:rsid w:val="00CC333D"/>
    <w:rsid w:val="00CC34EB"/>
    <w:rsid w:val="00CC66EA"/>
    <w:rsid w:val="00CD2AB7"/>
    <w:rsid w:val="00CD3C17"/>
    <w:rsid w:val="00CD56C4"/>
    <w:rsid w:val="00CD69B8"/>
    <w:rsid w:val="00CE1B4C"/>
    <w:rsid w:val="00CE1F9C"/>
    <w:rsid w:val="00CE202A"/>
    <w:rsid w:val="00CE2E48"/>
    <w:rsid w:val="00CE3202"/>
    <w:rsid w:val="00CE6A59"/>
    <w:rsid w:val="00CE7B23"/>
    <w:rsid w:val="00CF2C53"/>
    <w:rsid w:val="00CF4F85"/>
    <w:rsid w:val="00CF57E9"/>
    <w:rsid w:val="00CF6213"/>
    <w:rsid w:val="00CF6672"/>
    <w:rsid w:val="00D01BE2"/>
    <w:rsid w:val="00D021F7"/>
    <w:rsid w:val="00D02740"/>
    <w:rsid w:val="00D05E69"/>
    <w:rsid w:val="00D069C7"/>
    <w:rsid w:val="00D078A2"/>
    <w:rsid w:val="00D1046C"/>
    <w:rsid w:val="00D129A4"/>
    <w:rsid w:val="00D153F4"/>
    <w:rsid w:val="00D15D97"/>
    <w:rsid w:val="00D21123"/>
    <w:rsid w:val="00D21FCE"/>
    <w:rsid w:val="00D25ADA"/>
    <w:rsid w:val="00D26BB7"/>
    <w:rsid w:val="00D31834"/>
    <w:rsid w:val="00D3283B"/>
    <w:rsid w:val="00D33BC8"/>
    <w:rsid w:val="00D346B3"/>
    <w:rsid w:val="00D35CEB"/>
    <w:rsid w:val="00D367EB"/>
    <w:rsid w:val="00D4002B"/>
    <w:rsid w:val="00D45954"/>
    <w:rsid w:val="00D45ECD"/>
    <w:rsid w:val="00D461C2"/>
    <w:rsid w:val="00D46914"/>
    <w:rsid w:val="00D50669"/>
    <w:rsid w:val="00D6009B"/>
    <w:rsid w:val="00D61AAE"/>
    <w:rsid w:val="00D63A47"/>
    <w:rsid w:val="00D64CB8"/>
    <w:rsid w:val="00D7010A"/>
    <w:rsid w:val="00D72FD8"/>
    <w:rsid w:val="00D73A5A"/>
    <w:rsid w:val="00D74A51"/>
    <w:rsid w:val="00D7655A"/>
    <w:rsid w:val="00D76DEA"/>
    <w:rsid w:val="00D82175"/>
    <w:rsid w:val="00D845E4"/>
    <w:rsid w:val="00D90207"/>
    <w:rsid w:val="00D91EE6"/>
    <w:rsid w:val="00D948F2"/>
    <w:rsid w:val="00D9518F"/>
    <w:rsid w:val="00D968AA"/>
    <w:rsid w:val="00D9697A"/>
    <w:rsid w:val="00DA4C48"/>
    <w:rsid w:val="00DA727D"/>
    <w:rsid w:val="00DB0066"/>
    <w:rsid w:val="00DB460C"/>
    <w:rsid w:val="00DB53A7"/>
    <w:rsid w:val="00DC1347"/>
    <w:rsid w:val="00DC3594"/>
    <w:rsid w:val="00DC4FAE"/>
    <w:rsid w:val="00DD0E98"/>
    <w:rsid w:val="00DD170F"/>
    <w:rsid w:val="00DE0A8A"/>
    <w:rsid w:val="00DE4358"/>
    <w:rsid w:val="00DE62D0"/>
    <w:rsid w:val="00DF2521"/>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2F6A"/>
    <w:rsid w:val="00E3740B"/>
    <w:rsid w:val="00E37684"/>
    <w:rsid w:val="00E377E9"/>
    <w:rsid w:val="00E401FE"/>
    <w:rsid w:val="00E40B36"/>
    <w:rsid w:val="00E41D44"/>
    <w:rsid w:val="00E42932"/>
    <w:rsid w:val="00E444F1"/>
    <w:rsid w:val="00E457BA"/>
    <w:rsid w:val="00E47871"/>
    <w:rsid w:val="00E51672"/>
    <w:rsid w:val="00E557FA"/>
    <w:rsid w:val="00E55EE5"/>
    <w:rsid w:val="00E625B3"/>
    <w:rsid w:val="00E64743"/>
    <w:rsid w:val="00E70216"/>
    <w:rsid w:val="00E7257D"/>
    <w:rsid w:val="00E728CB"/>
    <w:rsid w:val="00E72F20"/>
    <w:rsid w:val="00E7336F"/>
    <w:rsid w:val="00E75249"/>
    <w:rsid w:val="00E7556B"/>
    <w:rsid w:val="00E76262"/>
    <w:rsid w:val="00E80C3A"/>
    <w:rsid w:val="00E81A1C"/>
    <w:rsid w:val="00E84A6B"/>
    <w:rsid w:val="00E85315"/>
    <w:rsid w:val="00E87070"/>
    <w:rsid w:val="00E87837"/>
    <w:rsid w:val="00E92385"/>
    <w:rsid w:val="00E96DEA"/>
    <w:rsid w:val="00EA1585"/>
    <w:rsid w:val="00EA48AE"/>
    <w:rsid w:val="00EA56A2"/>
    <w:rsid w:val="00EB09E2"/>
    <w:rsid w:val="00EB1CA0"/>
    <w:rsid w:val="00EB1CDC"/>
    <w:rsid w:val="00EB4EF7"/>
    <w:rsid w:val="00EB626C"/>
    <w:rsid w:val="00EB74A5"/>
    <w:rsid w:val="00EB7AA1"/>
    <w:rsid w:val="00EC6EEB"/>
    <w:rsid w:val="00ED1FD1"/>
    <w:rsid w:val="00EE0126"/>
    <w:rsid w:val="00EE3BB9"/>
    <w:rsid w:val="00EE7E55"/>
    <w:rsid w:val="00EF194F"/>
    <w:rsid w:val="00EF2A15"/>
    <w:rsid w:val="00EF3471"/>
    <w:rsid w:val="00EF5BFD"/>
    <w:rsid w:val="00F00EE5"/>
    <w:rsid w:val="00F01C6F"/>
    <w:rsid w:val="00F01EF7"/>
    <w:rsid w:val="00F02D7F"/>
    <w:rsid w:val="00F062F8"/>
    <w:rsid w:val="00F06686"/>
    <w:rsid w:val="00F06EE2"/>
    <w:rsid w:val="00F074DC"/>
    <w:rsid w:val="00F11842"/>
    <w:rsid w:val="00F15F14"/>
    <w:rsid w:val="00F16DF9"/>
    <w:rsid w:val="00F20992"/>
    <w:rsid w:val="00F24F8F"/>
    <w:rsid w:val="00F26797"/>
    <w:rsid w:val="00F307E0"/>
    <w:rsid w:val="00F33DAF"/>
    <w:rsid w:val="00F34D63"/>
    <w:rsid w:val="00F364F3"/>
    <w:rsid w:val="00F463F7"/>
    <w:rsid w:val="00F521C5"/>
    <w:rsid w:val="00F57F7A"/>
    <w:rsid w:val="00F61149"/>
    <w:rsid w:val="00F62D33"/>
    <w:rsid w:val="00F63C48"/>
    <w:rsid w:val="00F6565A"/>
    <w:rsid w:val="00F6570B"/>
    <w:rsid w:val="00F66569"/>
    <w:rsid w:val="00F67615"/>
    <w:rsid w:val="00F730F1"/>
    <w:rsid w:val="00F752C1"/>
    <w:rsid w:val="00F7556E"/>
    <w:rsid w:val="00F757A2"/>
    <w:rsid w:val="00F75C0A"/>
    <w:rsid w:val="00F76663"/>
    <w:rsid w:val="00F76C98"/>
    <w:rsid w:val="00F76CA0"/>
    <w:rsid w:val="00F778E1"/>
    <w:rsid w:val="00F804CD"/>
    <w:rsid w:val="00F80750"/>
    <w:rsid w:val="00F82379"/>
    <w:rsid w:val="00F83FF7"/>
    <w:rsid w:val="00F85F59"/>
    <w:rsid w:val="00F86717"/>
    <w:rsid w:val="00F8676B"/>
    <w:rsid w:val="00F86DD4"/>
    <w:rsid w:val="00F86F42"/>
    <w:rsid w:val="00F87274"/>
    <w:rsid w:val="00F91ED4"/>
    <w:rsid w:val="00F92C35"/>
    <w:rsid w:val="00FA1023"/>
    <w:rsid w:val="00FA3CEC"/>
    <w:rsid w:val="00FB1585"/>
    <w:rsid w:val="00FB24CA"/>
    <w:rsid w:val="00FB4CF2"/>
    <w:rsid w:val="00FB4F85"/>
    <w:rsid w:val="00FC3A19"/>
    <w:rsid w:val="00FC4845"/>
    <w:rsid w:val="00FC49EF"/>
    <w:rsid w:val="00FC6B03"/>
    <w:rsid w:val="00FC7C46"/>
    <w:rsid w:val="00FD06D5"/>
    <w:rsid w:val="00FD7202"/>
    <w:rsid w:val="00FE0029"/>
    <w:rsid w:val="00FE2B85"/>
    <w:rsid w:val="00FE419E"/>
    <w:rsid w:val="00FE540B"/>
    <w:rsid w:val="00FE5C29"/>
    <w:rsid w:val="00FE7CE8"/>
    <w:rsid w:val="00FE7F55"/>
    <w:rsid w:val="00FF1614"/>
    <w:rsid w:val="00FF1BBC"/>
    <w:rsid w:val="00FF1BF7"/>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ED31"/>
  <w15:docId w15:val="{3A7CCDDB-034B-404F-BEA4-A675252E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5458BD"/>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7C69E3"/>
    <w:pPr>
      <w:pBdr>
        <w:top w:val="single" w:sz="18" w:space="1" w:color="3867A0" w:themeColor="accent2"/>
        <w:left w:val="single" w:sz="18" w:space="4" w:color="3867A0" w:themeColor="accent2"/>
        <w:bottom w:val="single" w:sz="18" w:space="1" w:color="3867A0" w:themeColor="accent2"/>
        <w:right w:val="single" w:sz="18" w:space="4" w:color="3867A0" w:themeColor="accent2"/>
      </w:pBdr>
      <w:shd w:val="clear" w:color="F58220" w:themeColor="accent1" w:fill="auto"/>
      <w:spacing w:after="0"/>
      <w:ind w:left="6804"/>
      <w:jc w:val="center"/>
    </w:pPr>
    <w:rPr>
      <w:b/>
      <w:caps/>
      <w:color w:val="3867A0" w:themeColor="accent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7C69E3"/>
    <w:rPr>
      <w:b/>
      <w:caps/>
      <w:color w:val="3867A0" w:themeColor="accent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customStyle="1" w:styleId="Default">
    <w:name w:val="Default"/>
    <w:rsid w:val="00AC26DD"/>
    <w:pPr>
      <w:autoSpaceDE w:val="0"/>
      <w:autoSpaceDN w:val="0"/>
      <w:adjustRightInd w:val="0"/>
      <w:spacing w:before="0" w:after="0" w:line="240" w:lineRule="auto"/>
    </w:pPr>
    <w:rPr>
      <w:rFonts w:cs="Calibri"/>
      <w:sz w:val="24"/>
      <w:szCs w:val="24"/>
    </w:rPr>
  </w:style>
  <w:style w:type="character" w:styleId="UnresolvedMention">
    <w:name w:val="Unresolved Mention"/>
    <w:basedOn w:val="DefaultParagraphFont"/>
    <w:uiPriority w:val="99"/>
    <w:unhideWhenUsed/>
    <w:rsid w:val="00B3397F"/>
    <w:rPr>
      <w:color w:val="605E5C"/>
      <w:shd w:val="clear" w:color="auto" w:fill="E1DFDD"/>
    </w:rPr>
  </w:style>
  <w:style w:type="character" w:styleId="Mention">
    <w:name w:val="Mention"/>
    <w:basedOn w:val="DefaultParagraphFont"/>
    <w:uiPriority w:val="99"/>
    <w:unhideWhenUsed/>
    <w:rsid w:val="00B339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1161">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877045">
      <w:bodyDiv w:val="1"/>
      <w:marLeft w:val="0"/>
      <w:marRight w:val="0"/>
      <w:marTop w:val="0"/>
      <w:marBottom w:val="0"/>
      <w:divBdr>
        <w:top w:val="none" w:sz="0" w:space="0" w:color="auto"/>
        <w:left w:val="none" w:sz="0" w:space="0" w:color="auto"/>
        <w:bottom w:val="none" w:sz="0" w:space="0" w:color="auto"/>
        <w:right w:val="none" w:sz="0" w:space="0" w:color="auto"/>
      </w:divBdr>
    </w:div>
    <w:div w:id="71782566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5026120">
      <w:bodyDiv w:val="1"/>
      <w:marLeft w:val="0"/>
      <w:marRight w:val="0"/>
      <w:marTop w:val="0"/>
      <w:marBottom w:val="0"/>
      <w:divBdr>
        <w:top w:val="none" w:sz="0" w:space="0" w:color="auto"/>
        <w:left w:val="none" w:sz="0" w:space="0" w:color="auto"/>
        <w:bottom w:val="none" w:sz="0" w:space="0" w:color="auto"/>
        <w:right w:val="none" w:sz="0" w:space="0" w:color="auto"/>
      </w:divBdr>
    </w:div>
    <w:div w:id="134528560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3585691">
      <w:bodyDiv w:val="1"/>
      <w:marLeft w:val="0"/>
      <w:marRight w:val="0"/>
      <w:marTop w:val="0"/>
      <w:marBottom w:val="0"/>
      <w:divBdr>
        <w:top w:val="none" w:sz="0" w:space="0" w:color="auto"/>
        <w:left w:val="none" w:sz="0" w:space="0" w:color="auto"/>
        <w:bottom w:val="none" w:sz="0" w:space="0" w:color="auto"/>
        <w:right w:val="none" w:sz="0" w:space="0" w:color="auto"/>
      </w:divBdr>
    </w:div>
    <w:div w:id="1655140542">
      <w:bodyDiv w:val="1"/>
      <w:marLeft w:val="0"/>
      <w:marRight w:val="0"/>
      <w:marTop w:val="0"/>
      <w:marBottom w:val="0"/>
      <w:divBdr>
        <w:top w:val="none" w:sz="0" w:space="0" w:color="auto"/>
        <w:left w:val="none" w:sz="0" w:space="0" w:color="auto"/>
        <w:bottom w:val="none" w:sz="0" w:space="0" w:color="auto"/>
        <w:right w:val="none" w:sz="0" w:space="0" w:color="auto"/>
      </w:divBdr>
    </w:div>
    <w:div w:id="1963345233">
      <w:bodyDiv w:val="1"/>
      <w:marLeft w:val="0"/>
      <w:marRight w:val="0"/>
      <w:marTop w:val="0"/>
      <w:marBottom w:val="0"/>
      <w:divBdr>
        <w:top w:val="none" w:sz="0" w:space="0" w:color="auto"/>
        <w:left w:val="none" w:sz="0" w:space="0" w:color="auto"/>
        <w:bottom w:val="none" w:sz="0" w:space="0" w:color="auto"/>
        <w:right w:val="none" w:sz="0" w:space="0" w:color="auto"/>
      </w:divBdr>
    </w:div>
    <w:div w:id="2028560926">
      <w:bodyDiv w:val="1"/>
      <w:marLeft w:val="0"/>
      <w:marRight w:val="0"/>
      <w:marTop w:val="0"/>
      <w:marBottom w:val="0"/>
      <w:divBdr>
        <w:top w:val="none" w:sz="0" w:space="0" w:color="auto"/>
        <w:left w:val="none" w:sz="0" w:space="0" w:color="auto"/>
        <w:bottom w:val="none" w:sz="0" w:space="0" w:color="auto"/>
        <w:right w:val="none" w:sz="0" w:space="0" w:color="auto"/>
      </w:divBdr>
    </w:div>
    <w:div w:id="21381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doi.org/10.1126/science.aba4658"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customXml" Target="/customXML/item7.xml" Id="R1e27e5ea1bf0462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2C89A8D7623F46F88A15EF133A706EA0" version="1.0.0">
  <systemFields>
    <field name="Objective-Id">
      <value order="0">A787415</value>
    </field>
    <field name="Objective-Title">
      <value order="0">AS - Sub 1 - Report - Response to Public Comment - Bedout Multi-Well Drilling</value>
    </field>
    <field name="Objective-Description">
      <value order="0"/>
    </field>
    <field name="Objective-CreationStamp">
      <value order="0">2021-06-10T16:29:50Z</value>
    </field>
    <field name="Objective-IsApproved">
      <value order="0">false</value>
    </field>
    <field name="Objective-IsPublished">
      <value order="0">true</value>
    </field>
    <field name="Objective-DatePublished">
      <value order="0">2021-06-11T00:40:00Z</value>
    </field>
    <field name="Objective-ModificationStamp">
      <value order="0">2021-06-17T06:42:40Z</value>
    </field>
    <field name="Objective-Owner">
      <value order="0">Leah Wilson</value>
    </field>
    <field name="Objective-Path">
      <value order="0">Objective Global Folder:File Plan:Regulatory Operations:Assessment:Assessment 5570 - Environment Plan (Exploration) New - Santos WA Northwest Pty Ltd - Bedout Multi-Well Drilling</value>
    </field>
    <field name="Objective-Parent">
      <value order="0">Assessment 5570 - Environment Plan (Exploration) New - Santos WA Northwest Pty Ltd - Bedout Multi-Well Drilling</value>
    </field>
    <field name="Objective-State">
      <value order="0">Published</value>
    </field>
    <field name="Objective-VersionId">
      <value order="0">vA1543397</value>
    </field>
    <field name="Objective-Version">
      <value order="0">1.0</value>
    </field>
    <field name="Objective-VersionNumber">
      <value order="0">1</value>
    </field>
    <field name="Objective-VersionComment">
      <value order="0">First version</value>
    </field>
    <field name="Objective-FileNumber">
      <value order="0">R021567</value>
    </field>
    <field name="Objective-Classification">
      <value order="0">DLM-ONLY</value>
    </field>
    <field name="Objective-Caveats">
      <value order="0"/>
    </field>
  </systemFields>
  <catalogues>
    <catalogue name="Document - Incoming Type Catalogue" type="type" ori="id:cA4">
      <field name="Objective-DLM">
        <value order="0"/>
      </field>
      <field name="Objective-Date Received">
        <value order="0">2021-06-10T16:00:00Z</value>
      </field>
      <field name="Objective-Duty Holders and Organisations">
        <value order="0"/>
      </field>
      <field name="Objective-Facility">
        <value order="0"/>
      </field>
      <field name="Objective-RMS ID">
        <value order="0">5570</value>
      </field>
      <field name="Objective-Monthly Injury Summary ID">
        <value order="0"/>
      </field>
      <field name="Objective-Date of Document">
        <value order="0"/>
      </field>
      <field name="Objective-External Author">
        <value order="0"/>
      </field>
      <field name="Objective-External Reference">
        <value order="0"/>
      </field>
      <field name="Objective-Organisation">
        <value order="0">Santos WA Northwest Pty Ltd</value>
      </field>
      <field name="Objective-Connect Creator">
        <value order="0"/>
      </field>
      <field name="Objective-Action History">
        <value order="0"/>
      </field>
      <field name="Objective-Approved for External Publication">
        <value order="0">Yes</value>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AD52FA625BC64545BBE2E981DF3B6231" ma:contentTypeVersion="" ma:contentTypeDescription="Create a new document." ma:contentTypeScope="" ma:versionID="a67f4f79daca7c7f471fd91d79c86712">
  <xsd:schema xmlns:xsd="http://www.w3.org/2001/XMLSchema" xmlns:xs="http://www.w3.org/2001/XMLSchema" xmlns:p="http://schemas.microsoft.com/office/2006/metadata/properties" xmlns:ns2="dfca2272-72b5-47c8-9e8c-b3ce57b5533c" xmlns:ns3="49faa52a-747a-4fcf-a3c5-a572ba77c723" targetNamespace="http://schemas.microsoft.com/office/2006/metadata/properties" ma:root="true" ma:fieldsID="68ac37ee1c558eb92d286ca5f4633157" ns2:_="" ns3:_="">
    <xsd:import namespace="dfca2272-72b5-47c8-9e8c-b3ce57b5533c"/>
    <xsd:import namespace="49faa52a-747a-4fcf-a3c5-a572ba77c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a2272-72b5-47c8-9e8c-b3ce57b55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aa52a-747a-4fcf-a3c5-a572ba77c7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3.xml><?xml version="1.0" encoding="utf-8"?>
<ds:datastoreItem xmlns:ds="http://schemas.openxmlformats.org/officeDocument/2006/customXml" ds:itemID="{95599DBF-3BD6-4A38-B1F8-AAEFD5592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a2272-72b5-47c8-9e8c-b3ce57b5533c"/>
    <ds:schemaRef ds:uri="49faa52a-747a-4fcf-a3c5-a572ba77c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4FB05-C99C-49D9-9C95-AFD7140D8882}">
  <ds:schemaRefs>
    <ds:schemaRef ds:uri="http://schemas.openxmlformats.org/officeDocument/2006/bibliography"/>
  </ds:schemaRefs>
</ds:datastoreItem>
</file>

<file path=customXml/itemProps5.xml><?xml version="1.0" encoding="utf-8"?>
<ds:datastoreItem xmlns:ds="http://schemas.openxmlformats.org/officeDocument/2006/customXml" ds:itemID="{7FF8FB11-3FBF-4029-911B-B79B8005450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299B42C-21EB-49E4-B342-D2FB08E67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13160</CharactersWithSpaces>
  <SharedDoc>false</SharedDoc>
  <HLinks>
    <vt:vector size="66" baseType="variant">
      <vt:variant>
        <vt:i4>2424936</vt:i4>
      </vt:variant>
      <vt:variant>
        <vt:i4>27</vt:i4>
      </vt:variant>
      <vt:variant>
        <vt:i4>0</vt:i4>
      </vt:variant>
      <vt:variant>
        <vt:i4>5</vt:i4>
      </vt:variant>
      <vt:variant>
        <vt:lpwstr>http://www.ga.gov.au/nopims</vt:lpwstr>
      </vt:variant>
      <vt:variant>
        <vt:lpwstr/>
      </vt:variant>
      <vt:variant>
        <vt:i4>2424936</vt:i4>
      </vt:variant>
      <vt:variant>
        <vt:i4>24</vt:i4>
      </vt:variant>
      <vt:variant>
        <vt:i4>0</vt:i4>
      </vt:variant>
      <vt:variant>
        <vt:i4>5</vt:i4>
      </vt:variant>
      <vt:variant>
        <vt:lpwstr>http://www.ga.gov.au/nopims</vt:lpwstr>
      </vt:variant>
      <vt:variant>
        <vt:lpwstr/>
      </vt:variant>
      <vt:variant>
        <vt:i4>4194304</vt:i4>
      </vt:variant>
      <vt:variant>
        <vt:i4>21</vt:i4>
      </vt:variant>
      <vt:variant>
        <vt:i4>0</vt:i4>
      </vt:variant>
      <vt:variant>
        <vt:i4>5</vt:i4>
      </vt:variant>
      <vt:variant>
        <vt:lpwstr>https://doi.org/10.1578/AM.45.2.2019.125</vt:lpwstr>
      </vt:variant>
      <vt:variant>
        <vt:lpwstr/>
      </vt:variant>
      <vt:variant>
        <vt:i4>6619203</vt:i4>
      </vt:variant>
      <vt:variant>
        <vt:i4>18</vt:i4>
      </vt:variant>
      <vt:variant>
        <vt:i4>0</vt:i4>
      </vt:variant>
      <vt:variant>
        <vt:i4>5</vt:i4>
      </vt:variant>
      <vt:variant>
        <vt:lpwstr>https://doi.org/10.1007/978-1-4419-7311-5_18</vt:lpwstr>
      </vt:variant>
      <vt:variant>
        <vt:lpwstr/>
      </vt:variant>
      <vt:variant>
        <vt:i4>7536691</vt:i4>
      </vt:variant>
      <vt:variant>
        <vt:i4>15</vt:i4>
      </vt:variant>
      <vt:variant>
        <vt:i4>0</vt:i4>
      </vt:variant>
      <vt:variant>
        <vt:i4>5</vt:i4>
      </vt:variant>
      <vt:variant>
        <vt:lpwstr>https://doi.org/10.1071/AJ99048</vt:lpwstr>
      </vt:variant>
      <vt:variant>
        <vt:lpwstr/>
      </vt:variant>
      <vt:variant>
        <vt:i4>6029314</vt:i4>
      </vt:variant>
      <vt:variant>
        <vt:i4>12</vt:i4>
      </vt:variant>
      <vt:variant>
        <vt:i4>0</vt:i4>
      </vt:variant>
      <vt:variant>
        <vt:i4>5</vt:i4>
      </vt:variant>
      <vt:variant>
        <vt:lpwstr>https://cmst.curtin.edu.au/wp-content/uploads/sites/4/2016/05/McCauley-et-al-Seismic-effects-2000.pdf</vt:lpwstr>
      </vt:variant>
      <vt:variant>
        <vt:lpwstr/>
      </vt:variant>
      <vt:variant>
        <vt:i4>1507333</vt:i4>
      </vt:variant>
      <vt:variant>
        <vt:i4>9</vt:i4>
      </vt:variant>
      <vt:variant>
        <vt:i4>0</vt:i4>
      </vt:variant>
      <vt:variant>
        <vt:i4>5</vt:i4>
      </vt:variant>
      <vt:variant>
        <vt:lpwstr>https://apps.dtic.mil/dtic/tr/fulltext/u2/a561707.pdf</vt:lpwstr>
      </vt:variant>
      <vt:variant>
        <vt:lpwstr/>
      </vt:variant>
      <vt:variant>
        <vt:i4>4194304</vt:i4>
      </vt:variant>
      <vt:variant>
        <vt:i4>6</vt:i4>
      </vt:variant>
      <vt:variant>
        <vt:i4>0</vt:i4>
      </vt:variant>
      <vt:variant>
        <vt:i4>5</vt:i4>
      </vt:variant>
      <vt:variant>
        <vt:lpwstr>https://doi.org/10.1578/AM.45.2.2019.125</vt:lpwstr>
      </vt:variant>
      <vt:variant>
        <vt:lpwstr/>
      </vt:variant>
      <vt:variant>
        <vt:i4>5570573</vt:i4>
      </vt:variant>
      <vt:variant>
        <vt:i4>3</vt:i4>
      </vt:variant>
      <vt:variant>
        <vt:i4>0</vt:i4>
      </vt:variant>
      <vt:variant>
        <vt:i4>5</vt:i4>
      </vt:variant>
      <vt:variant>
        <vt:lpwstr>https://www.federalregister.gov/d/2018-12225</vt:lpwstr>
      </vt:variant>
      <vt:variant>
        <vt:lpwstr/>
      </vt:variant>
      <vt:variant>
        <vt:i4>3866668</vt:i4>
      </vt:variant>
      <vt:variant>
        <vt:i4>0</vt:i4>
      </vt:variant>
      <vt:variant>
        <vt:i4>0</vt:i4>
      </vt:variant>
      <vt:variant>
        <vt:i4>5</vt:i4>
      </vt:variant>
      <vt:variant>
        <vt:lpwstr>https://www.fisheries.noaa.gov/webdam/download/75962998</vt:lpwstr>
      </vt:variant>
      <vt:variant>
        <vt:lpwstr/>
      </vt:variant>
      <vt:variant>
        <vt:i4>1048676</vt:i4>
      </vt:variant>
      <vt:variant>
        <vt:i4>0</vt:i4>
      </vt:variant>
      <vt:variant>
        <vt:i4>0</vt:i4>
      </vt:variant>
      <vt:variant>
        <vt:i4>5</vt:i4>
      </vt:variant>
      <vt:variant>
        <vt:lpwstr>mailto:rachel.hooke@xodusgroup.com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keywords/>
  <cp:lastModifiedBy>Lucy Muir</cp:lastModifiedBy>
  <cp:revision>6</cp:revision>
  <cp:lastPrinted>2021-03-30T07:51:00Z</cp:lastPrinted>
  <dcterms:created xsi:type="dcterms:W3CDTF">2021-05-28T07:46:00Z</dcterms:created>
  <dcterms:modified xsi:type="dcterms:W3CDTF">2021-06-02T04:23:00Z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A787415</vt:lpwstr>
  </property>
  <property fmtid="{D5CDD505-2E9C-101B-9397-08002B2CF9AE}" pid="6" name="Objective-Title">
    <vt:lpwstr>AS - Sub 1 - Report - Response to Public Comment - Bedout Multi-Well Drilling</vt:lpwstr>
  </property>
  <property fmtid="{D5CDD505-2E9C-101B-9397-08002B2CF9AE}" pid="7" name="Objective-Description">
    <vt:lpwstr/>
  </property>
  <property fmtid="{D5CDD505-2E9C-101B-9397-08002B2CF9AE}" pid="8" name="Objective-CreationStamp">
    <vt:filetime>2021-06-10T16:29:50Z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2021-06-11T00:40:00Z</vt:filetime>
  </property>
  <property fmtid="{D5CDD505-2E9C-101B-9397-08002B2CF9AE}" pid="12" name="Objective-ModificationStamp">
    <vt:filetime>2021-06-17T06:42:40Z</vt:filetime>
  </property>
  <property fmtid="{D5CDD505-2E9C-101B-9397-08002B2CF9AE}" pid="13" name="Objective-Owner">
    <vt:lpwstr>Leah Wilson</vt:lpwstr>
  </property>
  <property fmtid="{D5CDD505-2E9C-101B-9397-08002B2CF9AE}" pid="14" name="Objective-Path">
    <vt:lpwstr>Objective Global Folder:File Plan:Regulatory Operations:Assessment:Assessment 5570 - Environment Plan (Exploration) New - Santos WA Northwest Pty Ltd - Bedout Multi-Well Drilling</vt:lpwstr>
  </property>
  <property fmtid="{D5CDD505-2E9C-101B-9397-08002B2CF9AE}" pid="15" name="Objective-Parent">
    <vt:lpwstr>Assessment 5570 - Environment Plan (Exploration) New - Santos WA Northwest Pty Ltd - Bedout Multi-Well Drilling</vt:lpwstr>
  </property>
  <property fmtid="{D5CDD505-2E9C-101B-9397-08002B2CF9AE}" pid="16" name="Objective-State">
    <vt:lpwstr>Published</vt:lpwstr>
  </property>
  <property fmtid="{D5CDD505-2E9C-101B-9397-08002B2CF9AE}" pid="17" name="Objective-VersionId">
    <vt:lpwstr>vA1543397</vt:lpwstr>
  </property>
  <property fmtid="{D5CDD505-2E9C-101B-9397-08002B2CF9AE}" pid="18" name="Objective-Version">
    <vt:lpwstr>1.0</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R021567</vt:lpwstr>
  </property>
  <property fmtid="{D5CDD505-2E9C-101B-9397-08002B2CF9AE}" pid="22" name="Objective-Classification">
    <vt:lpwstr>DLM-ONLY</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Carrie McIntosh</vt:lpwstr>
  </property>
  <property fmtid="{D5CDD505-2E9C-101B-9397-08002B2CF9AE}" pid="30" name="Objective-Date last reviewed">
    <vt:filetime>2020-09-11T15:59:59Z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Note Rev 0 went out for public comment - Hence first published version Revision 1</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Yes</vt:lpwstr>
  </property>
  <property fmtid="{D5CDD505-2E9C-101B-9397-08002B2CF9AE}" pid="39" name="Objective-Internal Author [system]">
    <vt:lpwstr>Carrie McIntosh</vt:lpwstr>
  </property>
  <property fmtid="{D5CDD505-2E9C-101B-9397-08002B2CF9AE}" pid="40" name="Objective-Date last reviewed [system]">
    <vt:filetime>2019-04-15T16:00:00Z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ContentTypeId">
    <vt:lpwstr>0x010100AD52FA625BC64545BBE2E981DF3B6231</vt:lpwstr>
  </property>
  <property fmtid="{D5CDD505-2E9C-101B-9397-08002B2CF9AE}" pid="45" name="_dlc_DocIdItemGuid">
    <vt:lpwstr>16cde7a5-018a-4f75-a4f8-974ed572d189</vt:lpwstr>
  </property>
  <property fmtid="{D5CDD505-2E9C-101B-9397-08002B2CF9AE}" pid="46" name="Objective-Date Received">
    <vt:filetime>2021-06-10T16:00:00Z</vt:filetime>
  </property>
  <property fmtid="{D5CDD505-2E9C-101B-9397-08002B2CF9AE}" pid="47" name="Objective-Duty Holders and Organisations">
    <vt:lpwstr/>
  </property>
  <property fmtid="{D5CDD505-2E9C-101B-9397-08002B2CF9AE}" pid="48" name="Objective-Facility">
    <vt:lpwstr/>
  </property>
  <property fmtid="{D5CDD505-2E9C-101B-9397-08002B2CF9AE}" pid="49" name="Objective-RMS ID">
    <vt:lpwstr>5570</vt:lpwstr>
  </property>
  <property fmtid="{D5CDD505-2E9C-101B-9397-08002B2CF9AE}" pid="50" name="Objective-Monthly Injury Summary ID">
    <vt:lpwstr/>
  </property>
  <property fmtid="{D5CDD505-2E9C-101B-9397-08002B2CF9AE}" pid="51" name="Objective-Date of Document">
    <vt:lpwstr/>
  </property>
  <property fmtid="{D5CDD505-2E9C-101B-9397-08002B2CF9AE}" pid="52" name="Objective-External Author">
    <vt:lpwstr/>
  </property>
  <property fmtid="{D5CDD505-2E9C-101B-9397-08002B2CF9AE}" pid="53" name="Objective-External Reference">
    <vt:lpwstr/>
  </property>
  <property fmtid="{D5CDD505-2E9C-101B-9397-08002B2CF9AE}" pid="54" name="Objective-Organisation">
    <vt:lpwstr>Santos WA Northwest Pty Ltd</vt:lpwstr>
  </property>
  <property fmtid="{D5CDD505-2E9C-101B-9397-08002B2CF9AE}" pid="55" name="Objective-Action History">
    <vt:lpwstr/>
  </property>
</Properties>
</file>