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ook w:val="01E0" w:firstRow="1" w:lastRow="1" w:firstColumn="1" w:lastColumn="1" w:noHBand="0" w:noVBand="0"/>
      </w:tblPr>
      <w:tblGrid>
        <w:gridCol w:w="9180"/>
        <w:gridCol w:w="142"/>
      </w:tblGrid>
      <w:tr w:rsidR="00BA0399" w14:paraId="42A6667F" w14:textId="77777777" w:rsidTr="00DE3B3E">
        <w:trPr>
          <w:gridAfter w:val="1"/>
          <w:wAfter w:w="142" w:type="dxa"/>
          <w:trHeight w:val="3402"/>
        </w:trPr>
        <w:tc>
          <w:tcPr>
            <w:tcW w:w="9180" w:type="dxa"/>
            <w:shd w:val="clear" w:color="auto" w:fill="auto"/>
          </w:tcPr>
          <w:p w14:paraId="5257B68C" w14:textId="77777777" w:rsidR="007A50D9" w:rsidRPr="00E53B62" w:rsidRDefault="00A3384C" w:rsidP="007077E6">
            <w:pPr>
              <w:pStyle w:val="Tabletextright"/>
            </w:pPr>
            <w:r>
              <w:tab/>
            </w:r>
          </w:p>
          <w:p w14:paraId="0A02F147" w14:textId="77777777" w:rsidR="00840C09" w:rsidRPr="00820D94" w:rsidRDefault="00524061" w:rsidP="00547760">
            <w:pPr>
              <w:pStyle w:val="Projectlogo"/>
            </w:pPr>
            <w:r>
              <w:t xml:space="preserve"> </w:t>
            </w:r>
          </w:p>
          <w:p w14:paraId="2DEEF128" w14:textId="77777777" w:rsidR="00BA0399" w:rsidRDefault="00BA0399" w:rsidP="00677479">
            <w:pPr>
              <w:jc w:val="both"/>
            </w:pPr>
          </w:p>
        </w:tc>
      </w:tr>
      <w:tr w:rsidR="00C14FD2" w:rsidRPr="00C14FD2" w14:paraId="5565217F" w14:textId="77777777" w:rsidTr="00DE3B3E">
        <w:trPr>
          <w:trHeight w:val="894"/>
        </w:trPr>
        <w:tc>
          <w:tcPr>
            <w:tcW w:w="9322" w:type="dxa"/>
            <w:gridSpan w:val="2"/>
            <w:shd w:val="clear" w:color="auto" w:fill="auto"/>
          </w:tcPr>
          <w:p w14:paraId="04B6DD3F" w14:textId="2AB0FBA2" w:rsidR="00BA0399" w:rsidRPr="00B90C2D" w:rsidRDefault="004B4953" w:rsidP="002774C1">
            <w:pPr>
              <w:pStyle w:val="INPEXdocumenttitle"/>
              <w:rPr>
                <w:color w:val="444088" w:themeColor="text2"/>
              </w:rPr>
            </w:pPr>
            <w:r>
              <w:rPr>
                <w:color w:val="444088" w:themeColor="text2"/>
              </w:rPr>
              <w:t>Bonaparte Basin Exploration Drilling Environment Plan</w:t>
            </w:r>
            <w:r w:rsidR="000D45C1">
              <w:rPr>
                <w:color w:val="444088" w:themeColor="text2"/>
              </w:rPr>
              <w:t>: Titleholder Report on Public Comment</w:t>
            </w:r>
            <w:r w:rsidR="00334B09" w:rsidRPr="00B90C2D" w:rsidDel="00334B09">
              <w:rPr>
                <w:color w:val="444088" w:themeColor="text2"/>
              </w:rPr>
              <w:t xml:space="preserve"> </w:t>
            </w:r>
          </w:p>
          <w:p w14:paraId="76527BD2" w14:textId="77777777" w:rsidR="00BA0399" w:rsidRPr="00B90C2D" w:rsidRDefault="00893178" w:rsidP="00677479">
            <w:pPr>
              <w:jc w:val="both"/>
              <w:rPr>
                <w:color w:val="444088" w:themeColor="text2"/>
              </w:rPr>
            </w:pPr>
            <w:r w:rsidRPr="00B90C2D">
              <w:rPr>
                <w:color w:val="444088" w:themeColor="text2"/>
              </w:rPr>
              <w:tab/>
            </w:r>
          </w:p>
        </w:tc>
      </w:tr>
      <w:tr w:rsidR="00C14FD2" w:rsidRPr="00C14FD2" w14:paraId="076C5D6D" w14:textId="77777777" w:rsidTr="00DE3B3E">
        <w:trPr>
          <w:trHeight w:val="1545"/>
        </w:trPr>
        <w:tc>
          <w:tcPr>
            <w:tcW w:w="9322" w:type="dxa"/>
            <w:gridSpan w:val="2"/>
            <w:shd w:val="clear" w:color="auto" w:fill="auto"/>
          </w:tcPr>
          <w:p w14:paraId="23C2E8DE" w14:textId="3548159B" w:rsidR="00BA0399" w:rsidRPr="00B90C2D" w:rsidRDefault="000D45C1" w:rsidP="002774C1">
            <w:pPr>
              <w:pStyle w:val="INPEXdocumenttype"/>
              <w:rPr>
                <w:color w:val="444088" w:themeColor="text2"/>
              </w:rPr>
            </w:pPr>
            <w:r>
              <w:rPr>
                <w:color w:val="444088" w:themeColor="text2"/>
              </w:rPr>
              <w:t>Report</w:t>
            </w:r>
            <w:r w:rsidR="007211FC" w:rsidRPr="00B90C2D" w:rsidDel="007211FC">
              <w:rPr>
                <w:color w:val="444088" w:themeColor="text2"/>
              </w:rPr>
              <w:t xml:space="preserve"> </w:t>
            </w:r>
          </w:p>
        </w:tc>
      </w:tr>
      <w:tr w:rsidR="00BA0399" w14:paraId="7151FB81" w14:textId="77777777" w:rsidTr="00DE3B3E">
        <w:tc>
          <w:tcPr>
            <w:tcW w:w="9322" w:type="dxa"/>
            <w:gridSpan w:val="2"/>
            <w:shd w:val="clear" w:color="auto" w:fill="auto"/>
          </w:tcPr>
          <w:p w14:paraId="13112F58" w14:textId="30A741A2" w:rsidR="00F10D64" w:rsidRDefault="00BA0399" w:rsidP="00F10D64">
            <w:pPr>
              <w:pStyle w:val="INPEXdocno"/>
            </w:pPr>
            <w:r w:rsidRPr="00693B48">
              <w:t>Doc</w:t>
            </w:r>
            <w:r w:rsidR="00954193" w:rsidRPr="00693B48">
              <w:t>ument</w:t>
            </w:r>
            <w:r w:rsidRPr="00693B48">
              <w:t xml:space="preserve"> No</w:t>
            </w:r>
            <w:r w:rsidR="00E43906" w:rsidRPr="00693B48">
              <w:t>.</w:t>
            </w:r>
            <w:r w:rsidRPr="00693B48">
              <w:t>:</w:t>
            </w:r>
            <w:r w:rsidR="00F10D64" w:rsidRPr="00F10D64">
              <w:rPr>
                <w:color w:val="444088" w:themeColor="text2"/>
              </w:rPr>
              <w:t>T087-A7-REP-70000</w:t>
            </w:r>
            <w:r w:rsidRPr="00F10D64">
              <w:rPr>
                <w:color w:val="444088" w:themeColor="text2"/>
              </w:rPr>
              <w:t xml:space="preserve"> </w:t>
            </w:r>
          </w:p>
          <w:p w14:paraId="7A96413F" w14:textId="48F250C3" w:rsidR="009312E2" w:rsidRPr="007B1BA4" w:rsidRDefault="009312E2" w:rsidP="00F10D64">
            <w:pPr>
              <w:pStyle w:val="INPEXdocno"/>
            </w:pPr>
            <w:r w:rsidRPr="00C14FD2">
              <w:t>Security Classification:</w:t>
            </w:r>
            <w:r w:rsidR="004929A8">
              <w:t xml:space="preserve"> </w:t>
            </w:r>
            <w:r w:rsidR="000D45C1">
              <w:rPr>
                <w:color w:val="444088" w:themeColor="text2"/>
              </w:rPr>
              <w:t>Public</w:t>
            </w:r>
            <w:r w:rsidRPr="00C14FD2">
              <w:t xml:space="preserve"> </w:t>
            </w:r>
          </w:p>
        </w:tc>
      </w:tr>
    </w:tbl>
    <w:p w14:paraId="20CD0A19" w14:textId="3FC075AA" w:rsidR="00E12758" w:rsidRPr="00FA7F0A" w:rsidRDefault="00E12758" w:rsidP="00FA7F0A"/>
    <w:p w14:paraId="24755CAB" w14:textId="77777777" w:rsidR="001A757C" w:rsidRDefault="007A4997" w:rsidP="007077E6">
      <w:pPr>
        <w:pStyle w:val="Tableheading10"/>
      </w:pPr>
      <w:r>
        <w:br w:type="page"/>
      </w:r>
      <w:bookmarkStart w:id="0" w:name="bmDocDist"/>
    </w:p>
    <w:p w14:paraId="3FD3CD19" w14:textId="15728143" w:rsidR="00AF61F0" w:rsidRPr="0051475A" w:rsidRDefault="009D550D" w:rsidP="007077E6">
      <w:pPr>
        <w:pStyle w:val="Tableheading10"/>
      </w:pPr>
      <w:r w:rsidRPr="0051475A">
        <w:rPr>
          <w:rFonts w:hint="eastAsia"/>
        </w:rPr>
        <w:lastRenderedPageBreak/>
        <w:t>DOCUMENT DISTRIBUTION</w:t>
      </w:r>
    </w:p>
    <w:tbl>
      <w:tblPr>
        <w:tblW w:w="0" w:type="auto"/>
        <w:tblBorders>
          <w:top w:val="single" w:sz="4" w:space="0" w:color="C0C0C0"/>
          <w:left w:val="single" w:sz="4" w:space="0" w:color="auto"/>
          <w:bottom w:val="single" w:sz="4" w:space="0" w:color="C0C0C0"/>
          <w:right w:val="single" w:sz="4" w:space="0" w:color="auto"/>
          <w:insideH w:val="single" w:sz="4" w:space="0" w:color="C0C0C0"/>
          <w:insideV w:val="single" w:sz="4" w:space="0" w:color="C0C0C0"/>
        </w:tblBorders>
        <w:tblCellMar>
          <w:left w:w="115" w:type="dxa"/>
          <w:right w:w="115" w:type="dxa"/>
        </w:tblCellMar>
        <w:tblLook w:val="01E0" w:firstRow="1" w:lastRow="1" w:firstColumn="1" w:lastColumn="1" w:noHBand="0" w:noVBand="0"/>
      </w:tblPr>
      <w:tblGrid>
        <w:gridCol w:w="877"/>
        <w:gridCol w:w="8049"/>
      </w:tblGrid>
      <w:tr w:rsidR="008702F5" w:rsidRPr="00DF32D6" w14:paraId="66F14774" w14:textId="77777777" w:rsidTr="008702F5">
        <w:trPr>
          <w:tblHeader/>
        </w:trPr>
        <w:tc>
          <w:tcPr>
            <w:tcW w:w="877" w:type="dxa"/>
            <w:tcBorders>
              <w:top w:val="single" w:sz="4" w:space="0" w:color="auto"/>
              <w:left w:val="single" w:sz="4" w:space="0" w:color="auto"/>
              <w:bottom w:val="single" w:sz="4" w:space="0" w:color="auto"/>
              <w:right w:val="single" w:sz="4" w:space="0" w:color="C0C0C0"/>
              <w:tl2br w:val="nil"/>
              <w:tr2bl w:val="nil"/>
            </w:tcBorders>
            <w:shd w:val="solid" w:color="E0E0E0" w:fill="E0E0E0"/>
            <w:tcMar>
              <w:top w:w="85" w:type="dxa"/>
              <w:left w:w="85" w:type="dxa"/>
              <w:bottom w:w="85" w:type="dxa"/>
              <w:right w:w="85" w:type="dxa"/>
            </w:tcMar>
          </w:tcPr>
          <w:p w14:paraId="3B6FFD2B" w14:textId="77777777" w:rsidR="008702F5" w:rsidRPr="00DF32D6" w:rsidRDefault="008702F5" w:rsidP="007077E6">
            <w:pPr>
              <w:pStyle w:val="Tabletextcentre"/>
            </w:pPr>
          </w:p>
        </w:tc>
        <w:tc>
          <w:tcPr>
            <w:tcW w:w="8049" w:type="dxa"/>
            <w:tcBorders>
              <w:top w:val="single" w:sz="4" w:space="0" w:color="auto"/>
              <w:left w:val="single" w:sz="4" w:space="0" w:color="C0C0C0"/>
              <w:bottom w:val="single" w:sz="4" w:space="0" w:color="auto"/>
              <w:right w:val="single" w:sz="4" w:space="0" w:color="auto"/>
              <w:tl2br w:val="nil"/>
              <w:tr2bl w:val="nil"/>
            </w:tcBorders>
            <w:shd w:val="solid" w:color="E0E0E0" w:fill="E0E0E0"/>
            <w:tcMar>
              <w:top w:w="85" w:type="dxa"/>
              <w:left w:w="85" w:type="dxa"/>
              <w:bottom w:w="85" w:type="dxa"/>
              <w:right w:w="85" w:type="dxa"/>
            </w:tcMar>
          </w:tcPr>
          <w:p w14:paraId="5250203B" w14:textId="77777777" w:rsidR="008702F5" w:rsidRPr="00DF32D6" w:rsidRDefault="008702F5" w:rsidP="007077E6">
            <w:pPr>
              <w:pStyle w:val="Tabletext"/>
            </w:pPr>
            <w:r w:rsidRPr="00DF32D6">
              <w:t>Name</w:t>
            </w:r>
          </w:p>
        </w:tc>
      </w:tr>
      <w:tr w:rsidR="008702F5" w:rsidRPr="00DF32D6" w14:paraId="75077767" w14:textId="77777777" w:rsidTr="008702F5">
        <w:tc>
          <w:tcPr>
            <w:tcW w:w="877" w:type="dxa"/>
            <w:shd w:val="clear" w:color="auto" w:fill="auto"/>
            <w:tcMar>
              <w:top w:w="85" w:type="dxa"/>
              <w:left w:w="85" w:type="dxa"/>
              <w:bottom w:w="85" w:type="dxa"/>
              <w:right w:w="85" w:type="dxa"/>
            </w:tcMar>
            <w:vAlign w:val="center"/>
          </w:tcPr>
          <w:p w14:paraId="514F2D0B" w14:textId="77777777" w:rsidR="008702F5" w:rsidRPr="00DF32D6" w:rsidRDefault="008702F5" w:rsidP="00232423">
            <w:pPr>
              <w:pStyle w:val="Tabletextcentre"/>
            </w:pPr>
            <w:r w:rsidRPr="00DF32D6">
              <w:t>00</w:t>
            </w:r>
          </w:p>
        </w:tc>
        <w:tc>
          <w:tcPr>
            <w:tcW w:w="8049" w:type="dxa"/>
            <w:shd w:val="clear" w:color="auto" w:fill="auto"/>
            <w:tcMar>
              <w:top w:w="85" w:type="dxa"/>
              <w:left w:w="85" w:type="dxa"/>
              <w:bottom w:w="85" w:type="dxa"/>
              <w:right w:w="85" w:type="dxa"/>
            </w:tcMar>
            <w:vAlign w:val="center"/>
          </w:tcPr>
          <w:p w14:paraId="657FDB28" w14:textId="77777777" w:rsidR="008702F5" w:rsidRPr="00DF32D6" w:rsidRDefault="008702F5" w:rsidP="00232423">
            <w:pPr>
              <w:pStyle w:val="Tabletext"/>
            </w:pPr>
            <w:r>
              <w:t xml:space="preserve">Document </w:t>
            </w:r>
            <w:r>
              <w:rPr>
                <w:rFonts w:hint="eastAsia"/>
                <w:lang w:eastAsia="ja-JP"/>
              </w:rPr>
              <w:t>C</w:t>
            </w:r>
            <w:r w:rsidRPr="00DF32D6">
              <w:t>ontrol</w:t>
            </w:r>
          </w:p>
        </w:tc>
      </w:tr>
      <w:tr w:rsidR="008702F5" w:rsidRPr="00DF32D6" w14:paraId="512C83D9" w14:textId="77777777" w:rsidTr="008702F5">
        <w:tc>
          <w:tcPr>
            <w:tcW w:w="877" w:type="dxa"/>
            <w:shd w:val="clear" w:color="auto" w:fill="auto"/>
            <w:tcMar>
              <w:top w:w="85" w:type="dxa"/>
              <w:left w:w="85" w:type="dxa"/>
              <w:bottom w:w="85" w:type="dxa"/>
              <w:right w:w="85" w:type="dxa"/>
            </w:tcMar>
            <w:vAlign w:val="center"/>
          </w:tcPr>
          <w:p w14:paraId="3A7C9D82" w14:textId="77777777" w:rsidR="008702F5" w:rsidRPr="00DF32D6" w:rsidRDefault="008702F5" w:rsidP="00232423">
            <w:pPr>
              <w:pStyle w:val="Tabletextcentre"/>
            </w:pPr>
            <w:r w:rsidRPr="00DF32D6">
              <w:t>01</w:t>
            </w:r>
          </w:p>
        </w:tc>
        <w:tc>
          <w:tcPr>
            <w:tcW w:w="8049" w:type="dxa"/>
            <w:shd w:val="clear" w:color="auto" w:fill="auto"/>
            <w:tcMar>
              <w:top w:w="85" w:type="dxa"/>
              <w:left w:w="85" w:type="dxa"/>
              <w:bottom w:w="85" w:type="dxa"/>
              <w:right w:w="85" w:type="dxa"/>
            </w:tcMar>
            <w:vAlign w:val="center"/>
          </w:tcPr>
          <w:p w14:paraId="59B35E10" w14:textId="77777777" w:rsidR="008702F5" w:rsidRPr="00DF32D6" w:rsidRDefault="008702F5" w:rsidP="00232423">
            <w:pPr>
              <w:pStyle w:val="Tabletext"/>
            </w:pPr>
          </w:p>
        </w:tc>
      </w:tr>
      <w:tr w:rsidR="008702F5" w:rsidRPr="00DF32D6" w14:paraId="693CF193" w14:textId="77777777" w:rsidTr="008702F5">
        <w:tc>
          <w:tcPr>
            <w:tcW w:w="877" w:type="dxa"/>
            <w:shd w:val="clear" w:color="auto" w:fill="auto"/>
            <w:tcMar>
              <w:top w:w="85" w:type="dxa"/>
              <w:left w:w="85" w:type="dxa"/>
              <w:bottom w:w="85" w:type="dxa"/>
              <w:right w:w="85" w:type="dxa"/>
            </w:tcMar>
            <w:vAlign w:val="center"/>
          </w:tcPr>
          <w:p w14:paraId="33CAF539" w14:textId="77777777" w:rsidR="008702F5" w:rsidRPr="00DF32D6" w:rsidRDefault="008702F5" w:rsidP="00232423">
            <w:pPr>
              <w:pStyle w:val="Tabletextcentre"/>
            </w:pPr>
            <w:r w:rsidRPr="00DF32D6">
              <w:t>02</w:t>
            </w:r>
          </w:p>
        </w:tc>
        <w:tc>
          <w:tcPr>
            <w:tcW w:w="8049" w:type="dxa"/>
            <w:shd w:val="clear" w:color="auto" w:fill="auto"/>
            <w:tcMar>
              <w:top w:w="85" w:type="dxa"/>
              <w:left w:w="85" w:type="dxa"/>
              <w:bottom w:w="85" w:type="dxa"/>
              <w:right w:w="85" w:type="dxa"/>
            </w:tcMar>
            <w:vAlign w:val="center"/>
          </w:tcPr>
          <w:p w14:paraId="0C2E59F0" w14:textId="77777777" w:rsidR="008702F5" w:rsidRPr="00DF32D6" w:rsidRDefault="008702F5" w:rsidP="00232423">
            <w:pPr>
              <w:pStyle w:val="Tabletext"/>
            </w:pPr>
          </w:p>
        </w:tc>
      </w:tr>
      <w:tr w:rsidR="008702F5" w:rsidRPr="00DF32D6" w14:paraId="512E23CD" w14:textId="77777777" w:rsidTr="008702F5">
        <w:tc>
          <w:tcPr>
            <w:tcW w:w="877" w:type="dxa"/>
            <w:shd w:val="clear" w:color="auto" w:fill="auto"/>
            <w:tcMar>
              <w:top w:w="85" w:type="dxa"/>
              <w:left w:w="85" w:type="dxa"/>
              <w:bottom w:w="85" w:type="dxa"/>
              <w:right w:w="85" w:type="dxa"/>
            </w:tcMar>
            <w:vAlign w:val="center"/>
          </w:tcPr>
          <w:p w14:paraId="620C86BE" w14:textId="77777777" w:rsidR="008702F5" w:rsidRPr="00DF32D6" w:rsidRDefault="008702F5" w:rsidP="00232423">
            <w:pPr>
              <w:pStyle w:val="Tabletextcentre"/>
            </w:pPr>
            <w:r w:rsidRPr="00DF32D6">
              <w:t>03</w:t>
            </w:r>
          </w:p>
        </w:tc>
        <w:tc>
          <w:tcPr>
            <w:tcW w:w="8049" w:type="dxa"/>
            <w:shd w:val="clear" w:color="auto" w:fill="auto"/>
            <w:tcMar>
              <w:top w:w="85" w:type="dxa"/>
              <w:left w:w="85" w:type="dxa"/>
              <w:bottom w:w="85" w:type="dxa"/>
              <w:right w:w="85" w:type="dxa"/>
            </w:tcMar>
            <w:vAlign w:val="center"/>
          </w:tcPr>
          <w:p w14:paraId="159A07E9" w14:textId="77777777" w:rsidR="008702F5" w:rsidRPr="00DF32D6" w:rsidRDefault="008702F5" w:rsidP="00232423">
            <w:pPr>
              <w:pStyle w:val="Tabletext"/>
            </w:pPr>
          </w:p>
        </w:tc>
      </w:tr>
      <w:tr w:rsidR="008702F5" w:rsidRPr="00DF32D6" w14:paraId="6A9702F5" w14:textId="77777777" w:rsidTr="008702F5">
        <w:tc>
          <w:tcPr>
            <w:tcW w:w="877" w:type="dxa"/>
            <w:tcBorders>
              <w:bottom w:val="single" w:sz="4" w:space="0" w:color="C0C0C0"/>
            </w:tcBorders>
            <w:shd w:val="clear" w:color="auto" w:fill="auto"/>
            <w:tcMar>
              <w:top w:w="85" w:type="dxa"/>
              <w:left w:w="85" w:type="dxa"/>
              <w:bottom w:w="85" w:type="dxa"/>
              <w:right w:w="85" w:type="dxa"/>
            </w:tcMar>
            <w:vAlign w:val="center"/>
          </w:tcPr>
          <w:p w14:paraId="7220451D" w14:textId="77777777" w:rsidR="008702F5" w:rsidRPr="00DF32D6" w:rsidRDefault="008702F5" w:rsidP="00232423">
            <w:pPr>
              <w:pStyle w:val="Tabletextcentre"/>
            </w:pPr>
            <w:r w:rsidRPr="00DF32D6">
              <w:t>04</w:t>
            </w:r>
          </w:p>
        </w:tc>
        <w:tc>
          <w:tcPr>
            <w:tcW w:w="8049" w:type="dxa"/>
            <w:tcBorders>
              <w:bottom w:val="single" w:sz="4" w:space="0" w:color="C0C0C0"/>
            </w:tcBorders>
            <w:shd w:val="clear" w:color="auto" w:fill="auto"/>
            <w:tcMar>
              <w:top w:w="85" w:type="dxa"/>
              <w:left w:w="85" w:type="dxa"/>
              <w:bottom w:w="85" w:type="dxa"/>
              <w:right w:w="85" w:type="dxa"/>
            </w:tcMar>
            <w:vAlign w:val="center"/>
          </w:tcPr>
          <w:p w14:paraId="5B085AFA" w14:textId="77777777" w:rsidR="008702F5" w:rsidRPr="00DF32D6" w:rsidRDefault="008702F5" w:rsidP="00232423">
            <w:pPr>
              <w:pStyle w:val="Tabletext"/>
            </w:pPr>
          </w:p>
        </w:tc>
      </w:tr>
      <w:tr w:rsidR="008702F5" w:rsidRPr="00DF32D6" w14:paraId="0FB091B7" w14:textId="77777777" w:rsidTr="008702F5">
        <w:tc>
          <w:tcPr>
            <w:tcW w:w="877" w:type="dxa"/>
            <w:tcBorders>
              <w:bottom w:val="single" w:sz="4" w:space="0" w:color="C0C0C0"/>
            </w:tcBorders>
            <w:shd w:val="clear" w:color="auto" w:fill="auto"/>
            <w:tcMar>
              <w:top w:w="85" w:type="dxa"/>
              <w:left w:w="85" w:type="dxa"/>
              <w:bottom w:w="85" w:type="dxa"/>
              <w:right w:w="85" w:type="dxa"/>
            </w:tcMar>
            <w:vAlign w:val="center"/>
          </w:tcPr>
          <w:p w14:paraId="3E595E8D" w14:textId="77777777" w:rsidR="008702F5" w:rsidRPr="00DF32D6" w:rsidRDefault="008702F5" w:rsidP="00232423">
            <w:pPr>
              <w:pStyle w:val="Tabletextcentre"/>
            </w:pPr>
            <w:r w:rsidRPr="00DF32D6">
              <w:t>05</w:t>
            </w:r>
          </w:p>
        </w:tc>
        <w:tc>
          <w:tcPr>
            <w:tcW w:w="8049" w:type="dxa"/>
            <w:tcBorders>
              <w:bottom w:val="single" w:sz="4" w:space="0" w:color="C0C0C0"/>
            </w:tcBorders>
            <w:shd w:val="clear" w:color="auto" w:fill="auto"/>
            <w:tcMar>
              <w:top w:w="85" w:type="dxa"/>
              <w:left w:w="85" w:type="dxa"/>
              <w:bottom w:w="85" w:type="dxa"/>
              <w:right w:w="85" w:type="dxa"/>
            </w:tcMar>
            <w:vAlign w:val="center"/>
          </w:tcPr>
          <w:p w14:paraId="058D1022" w14:textId="77777777" w:rsidR="008702F5" w:rsidRPr="00DF32D6" w:rsidRDefault="008702F5" w:rsidP="00232423">
            <w:pPr>
              <w:pStyle w:val="Tabletext"/>
            </w:pPr>
          </w:p>
        </w:tc>
      </w:tr>
      <w:tr w:rsidR="008702F5" w:rsidRPr="00DF32D6" w14:paraId="40DB9B5E" w14:textId="77777777" w:rsidTr="008702F5">
        <w:tc>
          <w:tcPr>
            <w:tcW w:w="877" w:type="dxa"/>
            <w:shd w:val="clear" w:color="auto" w:fill="auto"/>
            <w:tcMar>
              <w:top w:w="85" w:type="dxa"/>
              <w:left w:w="85" w:type="dxa"/>
              <w:bottom w:w="85" w:type="dxa"/>
              <w:right w:w="85" w:type="dxa"/>
            </w:tcMar>
            <w:vAlign w:val="center"/>
          </w:tcPr>
          <w:p w14:paraId="03D2D727" w14:textId="77777777" w:rsidR="008702F5" w:rsidRPr="00DF32D6" w:rsidRDefault="008702F5" w:rsidP="00232423">
            <w:pPr>
              <w:pStyle w:val="Tabletextcentre"/>
            </w:pPr>
            <w:r w:rsidRPr="00DF32D6">
              <w:t>06</w:t>
            </w:r>
          </w:p>
        </w:tc>
        <w:tc>
          <w:tcPr>
            <w:tcW w:w="8049" w:type="dxa"/>
            <w:shd w:val="clear" w:color="auto" w:fill="auto"/>
            <w:tcMar>
              <w:top w:w="85" w:type="dxa"/>
              <w:left w:w="85" w:type="dxa"/>
              <w:bottom w:w="85" w:type="dxa"/>
              <w:right w:w="85" w:type="dxa"/>
            </w:tcMar>
            <w:vAlign w:val="center"/>
          </w:tcPr>
          <w:p w14:paraId="4A949316" w14:textId="77777777" w:rsidR="008702F5" w:rsidRPr="00DF32D6" w:rsidRDefault="008702F5" w:rsidP="00232423">
            <w:pPr>
              <w:pStyle w:val="Tabletext"/>
            </w:pPr>
          </w:p>
        </w:tc>
      </w:tr>
      <w:tr w:rsidR="008702F5" w:rsidRPr="00DF32D6" w14:paraId="2FE12B19" w14:textId="77777777" w:rsidTr="008702F5">
        <w:tc>
          <w:tcPr>
            <w:tcW w:w="877" w:type="dxa"/>
            <w:shd w:val="clear" w:color="auto" w:fill="auto"/>
            <w:tcMar>
              <w:top w:w="85" w:type="dxa"/>
              <w:left w:w="85" w:type="dxa"/>
              <w:bottom w:w="85" w:type="dxa"/>
              <w:right w:w="85" w:type="dxa"/>
            </w:tcMar>
            <w:vAlign w:val="center"/>
          </w:tcPr>
          <w:p w14:paraId="43E43FF6" w14:textId="77777777" w:rsidR="008702F5" w:rsidRPr="00DF32D6" w:rsidRDefault="008702F5" w:rsidP="00232423">
            <w:pPr>
              <w:pStyle w:val="Tabletextcentre"/>
            </w:pPr>
            <w:r w:rsidRPr="00DF32D6">
              <w:t>07</w:t>
            </w:r>
          </w:p>
        </w:tc>
        <w:tc>
          <w:tcPr>
            <w:tcW w:w="8049" w:type="dxa"/>
            <w:shd w:val="clear" w:color="auto" w:fill="auto"/>
            <w:tcMar>
              <w:top w:w="85" w:type="dxa"/>
              <w:left w:w="85" w:type="dxa"/>
              <w:bottom w:w="85" w:type="dxa"/>
              <w:right w:w="85" w:type="dxa"/>
            </w:tcMar>
            <w:vAlign w:val="center"/>
          </w:tcPr>
          <w:p w14:paraId="26769FE7" w14:textId="77777777" w:rsidR="008702F5" w:rsidRPr="00DF32D6" w:rsidRDefault="008702F5" w:rsidP="00232423">
            <w:pPr>
              <w:pStyle w:val="Tabletext"/>
            </w:pPr>
          </w:p>
        </w:tc>
      </w:tr>
      <w:tr w:rsidR="008702F5" w:rsidRPr="00DF32D6" w14:paraId="10137704" w14:textId="77777777" w:rsidTr="008702F5">
        <w:tc>
          <w:tcPr>
            <w:tcW w:w="877" w:type="dxa"/>
            <w:tcBorders>
              <w:bottom w:val="single" w:sz="4" w:space="0" w:color="C0C0C0"/>
            </w:tcBorders>
            <w:shd w:val="clear" w:color="auto" w:fill="auto"/>
            <w:tcMar>
              <w:top w:w="85" w:type="dxa"/>
              <w:left w:w="85" w:type="dxa"/>
              <w:bottom w:w="85" w:type="dxa"/>
              <w:right w:w="85" w:type="dxa"/>
            </w:tcMar>
            <w:vAlign w:val="center"/>
          </w:tcPr>
          <w:p w14:paraId="6C3F312D" w14:textId="77777777" w:rsidR="008702F5" w:rsidRPr="00DF32D6" w:rsidRDefault="008702F5" w:rsidP="00232423">
            <w:pPr>
              <w:pStyle w:val="Tabletextcentre"/>
            </w:pPr>
            <w:r w:rsidRPr="00DF32D6">
              <w:t>08</w:t>
            </w:r>
          </w:p>
        </w:tc>
        <w:tc>
          <w:tcPr>
            <w:tcW w:w="8049" w:type="dxa"/>
            <w:tcBorders>
              <w:bottom w:val="single" w:sz="4" w:space="0" w:color="C0C0C0"/>
            </w:tcBorders>
            <w:shd w:val="clear" w:color="auto" w:fill="auto"/>
            <w:tcMar>
              <w:top w:w="85" w:type="dxa"/>
              <w:left w:w="85" w:type="dxa"/>
              <w:bottom w:w="85" w:type="dxa"/>
              <w:right w:w="85" w:type="dxa"/>
            </w:tcMar>
            <w:vAlign w:val="center"/>
          </w:tcPr>
          <w:p w14:paraId="4F4E760C" w14:textId="77777777" w:rsidR="008702F5" w:rsidRPr="00DF32D6" w:rsidRDefault="008702F5" w:rsidP="00232423">
            <w:pPr>
              <w:pStyle w:val="Tabletext"/>
            </w:pPr>
          </w:p>
        </w:tc>
      </w:tr>
      <w:tr w:rsidR="008702F5" w:rsidRPr="00DF32D6" w14:paraId="7B6884E8" w14:textId="77777777" w:rsidTr="008702F5">
        <w:tc>
          <w:tcPr>
            <w:tcW w:w="877" w:type="dxa"/>
            <w:shd w:val="clear" w:color="auto" w:fill="auto"/>
            <w:tcMar>
              <w:top w:w="85" w:type="dxa"/>
              <w:left w:w="85" w:type="dxa"/>
              <w:bottom w:w="85" w:type="dxa"/>
              <w:right w:w="85" w:type="dxa"/>
            </w:tcMar>
            <w:vAlign w:val="center"/>
          </w:tcPr>
          <w:p w14:paraId="55C980F6" w14:textId="77777777" w:rsidR="008702F5" w:rsidRPr="00DF32D6" w:rsidRDefault="008702F5" w:rsidP="00232423">
            <w:pPr>
              <w:pStyle w:val="Tabletextcentre"/>
            </w:pPr>
            <w:r w:rsidRPr="00DF32D6">
              <w:t>09</w:t>
            </w:r>
          </w:p>
        </w:tc>
        <w:tc>
          <w:tcPr>
            <w:tcW w:w="8049" w:type="dxa"/>
            <w:shd w:val="clear" w:color="auto" w:fill="auto"/>
            <w:tcMar>
              <w:top w:w="85" w:type="dxa"/>
              <w:left w:w="85" w:type="dxa"/>
              <w:bottom w:w="85" w:type="dxa"/>
              <w:right w:w="85" w:type="dxa"/>
            </w:tcMar>
            <w:vAlign w:val="center"/>
          </w:tcPr>
          <w:p w14:paraId="2E653329" w14:textId="77777777" w:rsidR="008702F5" w:rsidRPr="00DF32D6" w:rsidRDefault="008702F5" w:rsidP="00232423">
            <w:pPr>
              <w:pStyle w:val="Tabletext"/>
            </w:pPr>
          </w:p>
        </w:tc>
      </w:tr>
      <w:tr w:rsidR="008702F5" w:rsidRPr="00DF32D6" w14:paraId="4D6225FD" w14:textId="77777777" w:rsidTr="008702F5">
        <w:tc>
          <w:tcPr>
            <w:tcW w:w="877" w:type="dxa"/>
            <w:tcBorders>
              <w:top w:val="single" w:sz="4" w:space="0" w:color="C0C0C0"/>
              <w:left w:val="single" w:sz="4" w:space="0" w:color="auto"/>
              <w:bottom w:val="single" w:sz="4" w:space="0" w:color="auto"/>
              <w:right w:val="single" w:sz="4" w:space="0" w:color="C0C0C0"/>
              <w:tl2br w:val="nil"/>
              <w:tr2bl w:val="nil"/>
            </w:tcBorders>
            <w:shd w:val="clear" w:color="auto" w:fill="auto"/>
            <w:tcMar>
              <w:top w:w="85" w:type="dxa"/>
              <w:left w:w="85" w:type="dxa"/>
              <w:bottom w:w="85" w:type="dxa"/>
              <w:right w:w="85" w:type="dxa"/>
            </w:tcMar>
            <w:vAlign w:val="center"/>
          </w:tcPr>
          <w:p w14:paraId="73BFB063" w14:textId="77777777" w:rsidR="008702F5" w:rsidRPr="00DF32D6" w:rsidRDefault="008702F5" w:rsidP="00232423">
            <w:pPr>
              <w:pStyle w:val="Tabletextcentre"/>
            </w:pPr>
            <w:r w:rsidRPr="00DF32D6">
              <w:t>10</w:t>
            </w:r>
          </w:p>
        </w:tc>
        <w:tc>
          <w:tcPr>
            <w:tcW w:w="8049" w:type="dxa"/>
            <w:tcBorders>
              <w:top w:val="single" w:sz="4" w:space="0" w:color="C0C0C0"/>
              <w:left w:val="single" w:sz="4" w:space="0" w:color="C0C0C0"/>
              <w:bottom w:val="single" w:sz="4" w:space="0" w:color="auto"/>
              <w:right w:val="single" w:sz="4" w:space="0" w:color="auto"/>
              <w:tl2br w:val="nil"/>
              <w:tr2bl w:val="nil"/>
            </w:tcBorders>
            <w:shd w:val="clear" w:color="auto" w:fill="auto"/>
            <w:tcMar>
              <w:top w:w="85" w:type="dxa"/>
              <w:left w:w="85" w:type="dxa"/>
              <w:bottom w:w="85" w:type="dxa"/>
              <w:right w:w="85" w:type="dxa"/>
            </w:tcMar>
            <w:vAlign w:val="center"/>
          </w:tcPr>
          <w:p w14:paraId="1BDECCC3" w14:textId="77777777" w:rsidR="008702F5" w:rsidRPr="00DF32D6" w:rsidRDefault="008702F5" w:rsidP="00232423">
            <w:pPr>
              <w:pStyle w:val="Tabletext"/>
            </w:pPr>
          </w:p>
        </w:tc>
      </w:tr>
      <w:bookmarkEnd w:id="0"/>
    </w:tbl>
    <w:p w14:paraId="495829E2" w14:textId="77777777" w:rsidR="00100014" w:rsidRDefault="00100014" w:rsidP="00100014"/>
    <w:p w14:paraId="4A22D5F3" w14:textId="77777777" w:rsidR="00AF61F0" w:rsidRPr="00BA76FE" w:rsidRDefault="009D550D" w:rsidP="00CA523E">
      <w:pPr>
        <w:pStyle w:val="Heading"/>
        <w:rPr>
          <w:caps w:val="0"/>
        </w:rPr>
      </w:pPr>
      <w:r w:rsidRPr="00BA76FE">
        <w:rPr>
          <w:caps w:val="0"/>
        </w:rPr>
        <w:t>N</w:t>
      </w:r>
      <w:r>
        <w:rPr>
          <w:caps w:val="0"/>
        </w:rPr>
        <w:t>OTICE</w:t>
      </w:r>
    </w:p>
    <w:p w14:paraId="3576A2F2" w14:textId="3EDCAA6A" w:rsidR="004240E0" w:rsidRPr="00BE1286" w:rsidRDefault="00BE1286" w:rsidP="007077E6">
      <w:pPr>
        <w:pStyle w:val="BodyText"/>
      </w:pPr>
      <w:r w:rsidRPr="00BE1286">
        <w:t>All information contained with</w:t>
      </w:r>
      <w:r w:rsidR="00D36E54">
        <w:t>in</w:t>
      </w:r>
      <w:r w:rsidRPr="00BE1286">
        <w:t xml:space="preserve"> this document has been classified by INPEX as </w:t>
      </w:r>
      <w:r w:rsidR="000D45C1">
        <w:rPr>
          <w:color w:val="1F497D"/>
        </w:rPr>
        <w:t>Public</w:t>
      </w:r>
      <w:r w:rsidR="00A43A8D">
        <w:t xml:space="preserve"> </w:t>
      </w:r>
      <w:r w:rsidRPr="00BE1286">
        <w:t>and must only be used in accordance with that classification. Any use contrary to this document's classification may expose the recipient and subsequent user(s) to legal action. If you are unsure of restrictions on use imposed by the classification of this</w:t>
      </w:r>
      <w:r w:rsidR="00897A18">
        <w:t xml:space="preserve"> document you must refer to </w:t>
      </w:r>
      <w:r w:rsidR="00897A18" w:rsidRPr="00897A18">
        <w:t>0000-A9-STD-60008</w:t>
      </w:r>
      <w:r w:rsidR="00897A18">
        <w:t xml:space="preserve">, </w:t>
      </w:r>
      <w:r w:rsidR="00341496">
        <w:t xml:space="preserve">Sensitive </w:t>
      </w:r>
      <w:r w:rsidRPr="00BE1286">
        <w:t xml:space="preserve">Information </w:t>
      </w:r>
      <w:r w:rsidR="00341496">
        <w:t>Protection Standard</w:t>
      </w:r>
      <w:r w:rsidRPr="00BE1286">
        <w:t xml:space="preserve"> or seek clarification from INPEX.</w:t>
      </w:r>
    </w:p>
    <w:p w14:paraId="2355E553" w14:textId="77777777" w:rsidR="00B23017" w:rsidRPr="00DF32D6" w:rsidRDefault="00A16E91" w:rsidP="007077E6">
      <w:pPr>
        <w:pStyle w:val="Tableheading10"/>
      </w:pPr>
      <w:r w:rsidRPr="00A3575D">
        <w:t>Uncontrolled when printed.</w:t>
      </w:r>
      <w:bookmarkStart w:id="1" w:name="bmCONTENTS"/>
      <w:r w:rsidR="00455B80" w:rsidRPr="00A3575D">
        <w:br w:type="page"/>
      </w:r>
      <w:bookmarkStart w:id="2" w:name="Page_Count"/>
      <w:bookmarkStart w:id="3" w:name="bmTOC"/>
      <w:bookmarkEnd w:id="2"/>
      <w:r w:rsidR="009D550D" w:rsidRPr="00DF32D6">
        <w:lastRenderedPageBreak/>
        <w:t>TABLE OF CONTENTS</w:t>
      </w:r>
    </w:p>
    <w:bookmarkStart w:id="4" w:name="bmTOT"/>
    <w:bookmarkEnd w:id="3"/>
    <w:p w14:paraId="38F30FFB" w14:textId="0CE03C26" w:rsidR="008259D3" w:rsidRDefault="0062793A">
      <w:pPr>
        <w:pStyle w:val="TOC1"/>
        <w:rPr>
          <w:rFonts w:asciiTheme="minorHAnsi" w:hAnsiTheme="minorHAnsi" w:cstheme="minorBidi"/>
          <w:b w:val="0"/>
          <w:caps w:val="0"/>
          <w:kern w:val="2"/>
          <w:sz w:val="22"/>
          <w:szCs w:val="22"/>
          <w:lang w:eastAsia="ja-JP"/>
          <w14:ligatures w14:val="standardContextual"/>
        </w:rPr>
      </w:pPr>
      <w:r>
        <w:rPr>
          <w:caps w:val="0"/>
        </w:rPr>
        <w:fldChar w:fldCharType="begin"/>
      </w:r>
      <w:r>
        <w:rPr>
          <w:caps w:val="0"/>
        </w:rPr>
        <w:instrText xml:space="preserve"> TOC \o "1-2" \h \z \u </w:instrText>
      </w:r>
      <w:r>
        <w:rPr>
          <w:caps w:val="0"/>
        </w:rPr>
        <w:fldChar w:fldCharType="separate"/>
      </w:r>
      <w:hyperlink w:anchor="_Toc142894146" w:history="1">
        <w:r w:rsidR="008259D3" w:rsidRPr="005B4416">
          <w:rPr>
            <w:rStyle w:val="Hyperlink"/>
          </w:rPr>
          <w:t>1</w:t>
        </w:r>
        <w:r w:rsidR="008259D3">
          <w:rPr>
            <w:rFonts w:asciiTheme="minorHAnsi" w:hAnsiTheme="minorHAnsi" w:cstheme="minorBidi"/>
            <w:b w:val="0"/>
            <w:caps w:val="0"/>
            <w:kern w:val="2"/>
            <w:sz w:val="22"/>
            <w:szCs w:val="22"/>
            <w:lang w:eastAsia="ja-JP"/>
            <w14:ligatures w14:val="standardContextual"/>
          </w:rPr>
          <w:tab/>
        </w:r>
        <w:r w:rsidR="008259D3" w:rsidRPr="005B4416">
          <w:rPr>
            <w:rStyle w:val="Hyperlink"/>
          </w:rPr>
          <w:t>Introduction</w:t>
        </w:r>
        <w:r w:rsidR="008259D3">
          <w:rPr>
            <w:webHidden/>
          </w:rPr>
          <w:tab/>
        </w:r>
        <w:r w:rsidR="008259D3">
          <w:rPr>
            <w:webHidden/>
          </w:rPr>
          <w:fldChar w:fldCharType="begin"/>
        </w:r>
        <w:r w:rsidR="008259D3">
          <w:rPr>
            <w:webHidden/>
          </w:rPr>
          <w:instrText xml:space="preserve"> PAGEREF _Toc142894146 \h </w:instrText>
        </w:r>
        <w:r w:rsidR="008259D3">
          <w:rPr>
            <w:webHidden/>
          </w:rPr>
        </w:r>
        <w:r w:rsidR="008259D3">
          <w:rPr>
            <w:webHidden/>
          </w:rPr>
          <w:fldChar w:fldCharType="separate"/>
        </w:r>
        <w:r w:rsidR="008259D3">
          <w:rPr>
            <w:webHidden/>
          </w:rPr>
          <w:t>5</w:t>
        </w:r>
        <w:r w:rsidR="008259D3">
          <w:rPr>
            <w:webHidden/>
          </w:rPr>
          <w:fldChar w:fldCharType="end"/>
        </w:r>
      </w:hyperlink>
    </w:p>
    <w:p w14:paraId="5FB8E719" w14:textId="5AB26E8C" w:rsidR="008259D3" w:rsidRDefault="0011383F">
      <w:pPr>
        <w:pStyle w:val="TOC2"/>
        <w:rPr>
          <w:rFonts w:asciiTheme="minorHAnsi" w:hAnsiTheme="minorHAnsi" w:cstheme="minorBidi"/>
          <w:noProof/>
          <w:kern w:val="2"/>
          <w:sz w:val="22"/>
          <w:szCs w:val="22"/>
          <w:lang w:eastAsia="ja-JP"/>
          <w14:ligatures w14:val="standardContextual"/>
        </w:rPr>
      </w:pPr>
      <w:hyperlink w:anchor="_Toc142894147" w:history="1">
        <w:r w:rsidR="008259D3" w:rsidRPr="005B4416">
          <w:rPr>
            <w:rStyle w:val="Hyperlink"/>
            <w:noProof/>
          </w:rPr>
          <w:t>1.1</w:t>
        </w:r>
        <w:r w:rsidR="008259D3">
          <w:rPr>
            <w:rFonts w:asciiTheme="minorHAnsi" w:hAnsiTheme="minorHAnsi" w:cstheme="minorBidi"/>
            <w:noProof/>
            <w:kern w:val="2"/>
            <w:sz w:val="22"/>
            <w:szCs w:val="22"/>
            <w:lang w:eastAsia="ja-JP"/>
            <w14:ligatures w14:val="standardContextual"/>
          </w:rPr>
          <w:tab/>
        </w:r>
        <w:r w:rsidR="008259D3" w:rsidRPr="005B4416">
          <w:rPr>
            <w:rStyle w:val="Hyperlink"/>
            <w:noProof/>
          </w:rPr>
          <w:t>Public comments evaluation and response process</w:t>
        </w:r>
        <w:r w:rsidR="008259D3">
          <w:rPr>
            <w:noProof/>
            <w:webHidden/>
          </w:rPr>
          <w:tab/>
        </w:r>
        <w:r w:rsidR="008259D3">
          <w:rPr>
            <w:noProof/>
            <w:webHidden/>
          </w:rPr>
          <w:fldChar w:fldCharType="begin"/>
        </w:r>
        <w:r w:rsidR="008259D3">
          <w:rPr>
            <w:noProof/>
            <w:webHidden/>
          </w:rPr>
          <w:instrText xml:space="preserve"> PAGEREF _Toc142894147 \h </w:instrText>
        </w:r>
        <w:r w:rsidR="008259D3">
          <w:rPr>
            <w:noProof/>
            <w:webHidden/>
          </w:rPr>
        </w:r>
        <w:r w:rsidR="008259D3">
          <w:rPr>
            <w:noProof/>
            <w:webHidden/>
          </w:rPr>
          <w:fldChar w:fldCharType="separate"/>
        </w:r>
        <w:r w:rsidR="008259D3">
          <w:rPr>
            <w:noProof/>
            <w:webHidden/>
          </w:rPr>
          <w:t>5</w:t>
        </w:r>
        <w:r w:rsidR="008259D3">
          <w:rPr>
            <w:noProof/>
            <w:webHidden/>
          </w:rPr>
          <w:fldChar w:fldCharType="end"/>
        </w:r>
      </w:hyperlink>
    </w:p>
    <w:p w14:paraId="53869EE5" w14:textId="7C24E611" w:rsidR="008259D3" w:rsidRDefault="0011383F">
      <w:pPr>
        <w:pStyle w:val="TOC1"/>
        <w:rPr>
          <w:rFonts w:asciiTheme="minorHAnsi" w:hAnsiTheme="minorHAnsi" w:cstheme="minorBidi"/>
          <w:b w:val="0"/>
          <w:caps w:val="0"/>
          <w:kern w:val="2"/>
          <w:sz w:val="22"/>
          <w:szCs w:val="22"/>
          <w:lang w:eastAsia="ja-JP"/>
          <w14:ligatures w14:val="standardContextual"/>
        </w:rPr>
      </w:pPr>
      <w:hyperlink w:anchor="_Toc142894148" w:history="1">
        <w:r w:rsidR="008259D3" w:rsidRPr="005B4416">
          <w:rPr>
            <w:rStyle w:val="Hyperlink"/>
          </w:rPr>
          <w:t>2</w:t>
        </w:r>
        <w:r w:rsidR="008259D3">
          <w:rPr>
            <w:rFonts w:asciiTheme="minorHAnsi" w:hAnsiTheme="minorHAnsi" w:cstheme="minorBidi"/>
            <w:b w:val="0"/>
            <w:caps w:val="0"/>
            <w:kern w:val="2"/>
            <w:sz w:val="22"/>
            <w:szCs w:val="22"/>
            <w:lang w:eastAsia="ja-JP"/>
            <w14:ligatures w14:val="standardContextual"/>
          </w:rPr>
          <w:tab/>
        </w:r>
        <w:r w:rsidR="008259D3" w:rsidRPr="005B4416">
          <w:rPr>
            <w:rStyle w:val="Hyperlink"/>
          </w:rPr>
          <w:t>Response to public comments</w:t>
        </w:r>
        <w:r w:rsidR="008259D3">
          <w:rPr>
            <w:webHidden/>
          </w:rPr>
          <w:tab/>
        </w:r>
        <w:r w:rsidR="008259D3">
          <w:rPr>
            <w:webHidden/>
          </w:rPr>
          <w:fldChar w:fldCharType="begin"/>
        </w:r>
        <w:r w:rsidR="008259D3">
          <w:rPr>
            <w:webHidden/>
          </w:rPr>
          <w:instrText xml:space="preserve"> PAGEREF _Toc142894148 \h </w:instrText>
        </w:r>
        <w:r w:rsidR="008259D3">
          <w:rPr>
            <w:webHidden/>
          </w:rPr>
        </w:r>
        <w:r w:rsidR="008259D3">
          <w:rPr>
            <w:webHidden/>
          </w:rPr>
          <w:fldChar w:fldCharType="separate"/>
        </w:r>
        <w:r w:rsidR="008259D3">
          <w:rPr>
            <w:webHidden/>
          </w:rPr>
          <w:t>6</w:t>
        </w:r>
        <w:r w:rsidR="008259D3">
          <w:rPr>
            <w:webHidden/>
          </w:rPr>
          <w:fldChar w:fldCharType="end"/>
        </w:r>
      </w:hyperlink>
    </w:p>
    <w:p w14:paraId="4527C87D" w14:textId="6E8A97D9" w:rsidR="00B12515" w:rsidRDefault="0062793A" w:rsidP="007077E6">
      <w:pPr>
        <w:pStyle w:val="Tableheading10"/>
        <w:rPr>
          <w:noProof/>
          <w:szCs w:val="20"/>
          <w:lang w:eastAsia="ja-JP"/>
        </w:rPr>
      </w:pPr>
      <w:r>
        <w:rPr>
          <w:caps/>
          <w:noProof/>
          <w:szCs w:val="20"/>
        </w:rPr>
        <w:fldChar w:fldCharType="end"/>
      </w:r>
    </w:p>
    <w:p w14:paraId="2243457E" w14:textId="77777777" w:rsidR="00F52A6F" w:rsidRPr="0051475A" w:rsidRDefault="009D550D" w:rsidP="007077E6">
      <w:pPr>
        <w:pStyle w:val="Tableheading10"/>
        <w:rPr>
          <w:caps/>
        </w:rPr>
      </w:pPr>
      <w:r w:rsidRPr="0051475A">
        <w:t xml:space="preserve">LIST OF </w:t>
      </w:r>
      <w:r w:rsidRPr="007077E6">
        <w:t>TABLES</w:t>
      </w:r>
    </w:p>
    <w:p w14:paraId="54B59769" w14:textId="4C8597B5" w:rsidR="008259D3" w:rsidRDefault="00832074">
      <w:pPr>
        <w:pStyle w:val="TableofFigures"/>
        <w:rPr>
          <w:rFonts w:asciiTheme="minorHAnsi" w:hAnsiTheme="minorHAnsi" w:cstheme="minorBidi"/>
          <w:noProof/>
          <w:kern w:val="2"/>
          <w:sz w:val="22"/>
          <w:szCs w:val="22"/>
          <w:lang w:eastAsia="ja-JP"/>
          <w14:ligatures w14:val="standardContextual"/>
        </w:rPr>
      </w:pPr>
      <w:r>
        <w:fldChar w:fldCharType="begin"/>
      </w:r>
      <w:r>
        <w:instrText xml:space="preserve"> TOC \h \z \c "Table" </w:instrText>
      </w:r>
      <w:r>
        <w:fldChar w:fldCharType="separate"/>
      </w:r>
      <w:hyperlink w:anchor="_Toc142894152" w:history="1">
        <w:r w:rsidR="008259D3" w:rsidRPr="00CA3D4C">
          <w:rPr>
            <w:rStyle w:val="Hyperlink"/>
            <w:noProof/>
          </w:rPr>
          <w:t>Table 1</w:t>
        </w:r>
        <w:r w:rsidR="008259D3" w:rsidRPr="00CA3D4C">
          <w:rPr>
            <w:rStyle w:val="Hyperlink"/>
            <w:noProof/>
          </w:rPr>
          <w:noBreakHyphen/>
          <w:t>1: Titleholder details</w:t>
        </w:r>
        <w:r w:rsidR="008259D3">
          <w:rPr>
            <w:noProof/>
            <w:webHidden/>
          </w:rPr>
          <w:tab/>
        </w:r>
        <w:r w:rsidR="008259D3">
          <w:rPr>
            <w:noProof/>
            <w:webHidden/>
          </w:rPr>
          <w:fldChar w:fldCharType="begin"/>
        </w:r>
        <w:r w:rsidR="008259D3">
          <w:rPr>
            <w:noProof/>
            <w:webHidden/>
          </w:rPr>
          <w:instrText xml:space="preserve"> PAGEREF _Toc142894152 \h </w:instrText>
        </w:r>
        <w:r w:rsidR="008259D3">
          <w:rPr>
            <w:noProof/>
            <w:webHidden/>
          </w:rPr>
        </w:r>
        <w:r w:rsidR="008259D3">
          <w:rPr>
            <w:noProof/>
            <w:webHidden/>
          </w:rPr>
          <w:fldChar w:fldCharType="separate"/>
        </w:r>
        <w:r w:rsidR="008259D3">
          <w:rPr>
            <w:noProof/>
            <w:webHidden/>
          </w:rPr>
          <w:t>5</w:t>
        </w:r>
        <w:r w:rsidR="008259D3">
          <w:rPr>
            <w:noProof/>
            <w:webHidden/>
          </w:rPr>
          <w:fldChar w:fldCharType="end"/>
        </w:r>
      </w:hyperlink>
    </w:p>
    <w:p w14:paraId="557E7361" w14:textId="7E009A14" w:rsidR="008259D3" w:rsidRDefault="0011383F">
      <w:pPr>
        <w:pStyle w:val="TableofFigures"/>
        <w:rPr>
          <w:rFonts w:asciiTheme="minorHAnsi" w:hAnsiTheme="minorHAnsi" w:cstheme="minorBidi"/>
          <w:noProof/>
          <w:kern w:val="2"/>
          <w:sz w:val="22"/>
          <w:szCs w:val="22"/>
          <w:lang w:eastAsia="ja-JP"/>
          <w14:ligatures w14:val="standardContextual"/>
        </w:rPr>
      </w:pPr>
      <w:hyperlink w:anchor="_Toc142894153" w:history="1">
        <w:r w:rsidR="008259D3" w:rsidRPr="00CA3D4C">
          <w:rPr>
            <w:rStyle w:val="Hyperlink"/>
            <w:noProof/>
          </w:rPr>
          <w:t>Table 2</w:t>
        </w:r>
        <w:r w:rsidR="008259D3" w:rsidRPr="00CA3D4C">
          <w:rPr>
            <w:rStyle w:val="Hyperlink"/>
            <w:noProof/>
          </w:rPr>
          <w:noBreakHyphen/>
          <w:t>1: Common themes</w:t>
        </w:r>
        <w:r w:rsidR="008259D3">
          <w:rPr>
            <w:noProof/>
            <w:webHidden/>
          </w:rPr>
          <w:tab/>
        </w:r>
        <w:r w:rsidR="008259D3">
          <w:rPr>
            <w:noProof/>
            <w:webHidden/>
          </w:rPr>
          <w:fldChar w:fldCharType="begin"/>
        </w:r>
        <w:r w:rsidR="008259D3">
          <w:rPr>
            <w:noProof/>
            <w:webHidden/>
          </w:rPr>
          <w:instrText xml:space="preserve"> PAGEREF _Toc142894153 \h </w:instrText>
        </w:r>
        <w:r w:rsidR="008259D3">
          <w:rPr>
            <w:noProof/>
            <w:webHidden/>
          </w:rPr>
        </w:r>
        <w:r w:rsidR="008259D3">
          <w:rPr>
            <w:noProof/>
            <w:webHidden/>
          </w:rPr>
          <w:fldChar w:fldCharType="separate"/>
        </w:r>
        <w:r w:rsidR="008259D3">
          <w:rPr>
            <w:noProof/>
            <w:webHidden/>
          </w:rPr>
          <w:t>6</w:t>
        </w:r>
        <w:r w:rsidR="008259D3">
          <w:rPr>
            <w:noProof/>
            <w:webHidden/>
          </w:rPr>
          <w:fldChar w:fldCharType="end"/>
        </w:r>
      </w:hyperlink>
    </w:p>
    <w:p w14:paraId="6F1D4114" w14:textId="750F4848" w:rsidR="008259D3" w:rsidRDefault="0011383F">
      <w:pPr>
        <w:pStyle w:val="TableofFigures"/>
        <w:rPr>
          <w:rFonts w:asciiTheme="minorHAnsi" w:hAnsiTheme="minorHAnsi" w:cstheme="minorBidi"/>
          <w:noProof/>
          <w:kern w:val="2"/>
          <w:sz w:val="22"/>
          <w:szCs w:val="22"/>
          <w:lang w:eastAsia="ja-JP"/>
          <w14:ligatures w14:val="standardContextual"/>
        </w:rPr>
      </w:pPr>
      <w:hyperlink w:anchor="_Toc142894154" w:history="1">
        <w:r w:rsidR="008259D3" w:rsidRPr="00CA3D4C">
          <w:rPr>
            <w:rStyle w:val="Hyperlink"/>
            <w:noProof/>
          </w:rPr>
          <w:t>Table 2</w:t>
        </w:r>
        <w:r w:rsidR="008259D3" w:rsidRPr="00CA3D4C">
          <w:rPr>
            <w:rStyle w:val="Hyperlink"/>
            <w:noProof/>
          </w:rPr>
          <w:noBreakHyphen/>
          <w:t>2: Titleholder response to public comments</w:t>
        </w:r>
        <w:r w:rsidR="008259D3">
          <w:rPr>
            <w:noProof/>
            <w:webHidden/>
          </w:rPr>
          <w:tab/>
        </w:r>
        <w:r w:rsidR="008259D3">
          <w:rPr>
            <w:noProof/>
            <w:webHidden/>
          </w:rPr>
          <w:fldChar w:fldCharType="begin"/>
        </w:r>
        <w:r w:rsidR="008259D3">
          <w:rPr>
            <w:noProof/>
            <w:webHidden/>
          </w:rPr>
          <w:instrText xml:space="preserve"> PAGEREF _Toc142894154 \h </w:instrText>
        </w:r>
        <w:r w:rsidR="008259D3">
          <w:rPr>
            <w:noProof/>
            <w:webHidden/>
          </w:rPr>
        </w:r>
        <w:r w:rsidR="008259D3">
          <w:rPr>
            <w:noProof/>
            <w:webHidden/>
          </w:rPr>
          <w:fldChar w:fldCharType="separate"/>
        </w:r>
        <w:r w:rsidR="008259D3">
          <w:rPr>
            <w:noProof/>
            <w:webHidden/>
          </w:rPr>
          <w:t>7</w:t>
        </w:r>
        <w:r w:rsidR="008259D3">
          <w:rPr>
            <w:noProof/>
            <w:webHidden/>
          </w:rPr>
          <w:fldChar w:fldCharType="end"/>
        </w:r>
      </w:hyperlink>
    </w:p>
    <w:p w14:paraId="09CDC3B3" w14:textId="50568B3C" w:rsidR="007D57BE" w:rsidRDefault="00832074" w:rsidP="00F52A6F">
      <w:pPr>
        <w:rPr>
          <w:b/>
          <w:bCs/>
          <w:noProof/>
          <w:lang w:val="en-US" w:eastAsia="ja-JP"/>
        </w:rPr>
      </w:pPr>
      <w:r>
        <w:rPr>
          <w:b/>
          <w:bCs/>
          <w:noProof/>
          <w:lang w:val="en-US"/>
        </w:rPr>
        <w:fldChar w:fldCharType="end"/>
      </w:r>
    </w:p>
    <w:p w14:paraId="35D96419" w14:textId="77777777" w:rsidR="0051475A" w:rsidRPr="00421D94" w:rsidRDefault="0051475A" w:rsidP="00F52A6F">
      <w:pPr>
        <w:rPr>
          <w:lang w:val="en-US" w:eastAsia="ja-JP"/>
        </w:rPr>
      </w:pPr>
    </w:p>
    <w:p w14:paraId="6FE1E427" w14:textId="77777777" w:rsidR="00AF61F0" w:rsidRPr="0051475A" w:rsidRDefault="009D550D" w:rsidP="007077E6">
      <w:pPr>
        <w:pStyle w:val="Tableheading10"/>
        <w:rPr>
          <w:caps/>
        </w:rPr>
      </w:pPr>
      <w:bookmarkStart w:id="5" w:name="bmTOF"/>
      <w:bookmarkEnd w:id="4"/>
      <w:r w:rsidRPr="0051475A">
        <w:t>LIST OF FIGURES</w:t>
      </w:r>
    </w:p>
    <w:p w14:paraId="1D582D4E" w14:textId="0D7C6FA4" w:rsidR="008259D3" w:rsidRDefault="00E672A4">
      <w:pPr>
        <w:pStyle w:val="TableofFigures"/>
        <w:rPr>
          <w:rFonts w:asciiTheme="minorHAnsi" w:hAnsiTheme="minorHAnsi" w:cstheme="minorBidi"/>
          <w:noProof/>
          <w:kern w:val="2"/>
          <w:sz w:val="22"/>
          <w:szCs w:val="22"/>
          <w:lang w:eastAsia="ja-JP"/>
          <w14:ligatures w14:val="standardContextual"/>
        </w:rPr>
      </w:pPr>
      <w:r>
        <w:fldChar w:fldCharType="begin"/>
      </w:r>
      <w:r>
        <w:instrText xml:space="preserve"> TOC \h \z \c "Figure" </w:instrText>
      </w:r>
      <w:r>
        <w:fldChar w:fldCharType="separate"/>
      </w:r>
      <w:hyperlink w:anchor="_Toc142894157" w:history="1">
        <w:r w:rsidR="008259D3" w:rsidRPr="00176AD3">
          <w:rPr>
            <w:rStyle w:val="Hyperlink"/>
            <w:noProof/>
          </w:rPr>
          <w:t>Figure 2</w:t>
        </w:r>
        <w:r w:rsidR="008259D3" w:rsidRPr="00176AD3">
          <w:rPr>
            <w:rStyle w:val="Hyperlink"/>
            <w:noProof/>
          </w:rPr>
          <w:noBreakHyphen/>
          <w:t>1: Bonaparte Basin Exploration Drilling EP public comments by theme</w:t>
        </w:r>
        <w:r w:rsidR="008259D3">
          <w:rPr>
            <w:noProof/>
            <w:webHidden/>
          </w:rPr>
          <w:tab/>
        </w:r>
        <w:r w:rsidR="008259D3">
          <w:rPr>
            <w:noProof/>
            <w:webHidden/>
          </w:rPr>
          <w:fldChar w:fldCharType="begin"/>
        </w:r>
        <w:r w:rsidR="008259D3">
          <w:rPr>
            <w:noProof/>
            <w:webHidden/>
          </w:rPr>
          <w:instrText xml:space="preserve"> PAGEREF _Toc142894157 \h </w:instrText>
        </w:r>
        <w:r w:rsidR="008259D3">
          <w:rPr>
            <w:noProof/>
            <w:webHidden/>
          </w:rPr>
        </w:r>
        <w:r w:rsidR="008259D3">
          <w:rPr>
            <w:noProof/>
            <w:webHidden/>
          </w:rPr>
          <w:fldChar w:fldCharType="separate"/>
        </w:r>
        <w:r w:rsidR="008259D3">
          <w:rPr>
            <w:noProof/>
            <w:webHidden/>
          </w:rPr>
          <w:t>6</w:t>
        </w:r>
        <w:r w:rsidR="008259D3">
          <w:rPr>
            <w:noProof/>
            <w:webHidden/>
          </w:rPr>
          <w:fldChar w:fldCharType="end"/>
        </w:r>
      </w:hyperlink>
    </w:p>
    <w:p w14:paraId="47FA9A8A" w14:textId="5ACED11E" w:rsidR="00592256" w:rsidRDefault="00E672A4" w:rsidP="00592256">
      <w:pPr>
        <w:rPr>
          <w:b/>
          <w:bCs/>
          <w:noProof/>
          <w:lang w:val="en-US" w:eastAsia="ja-JP"/>
        </w:rPr>
      </w:pPr>
      <w:r>
        <w:rPr>
          <w:b/>
          <w:bCs/>
          <w:noProof/>
          <w:lang w:val="en-US"/>
        </w:rPr>
        <w:fldChar w:fldCharType="end"/>
      </w:r>
    </w:p>
    <w:p w14:paraId="74076909" w14:textId="77777777" w:rsidR="0051475A" w:rsidRPr="00DF32D6" w:rsidRDefault="0051475A" w:rsidP="00592256">
      <w:pPr>
        <w:rPr>
          <w:lang w:eastAsia="ja-JP"/>
        </w:rPr>
      </w:pPr>
    </w:p>
    <w:p w14:paraId="5B55745B" w14:textId="77777777" w:rsidR="00AF61F0" w:rsidRPr="0051475A" w:rsidRDefault="009D550D" w:rsidP="007077E6">
      <w:pPr>
        <w:pStyle w:val="Tableheading10"/>
        <w:rPr>
          <w:caps/>
        </w:rPr>
      </w:pPr>
      <w:bookmarkStart w:id="6" w:name="bmTOA"/>
      <w:bookmarkEnd w:id="5"/>
      <w:r w:rsidRPr="0051475A">
        <w:t xml:space="preserve">TABLE OF </w:t>
      </w:r>
      <w:r w:rsidRPr="007077E6">
        <w:t>APPENDICES</w:t>
      </w:r>
    </w:p>
    <w:p w14:paraId="785DAB16" w14:textId="102EC39F" w:rsidR="00486B36" w:rsidRDefault="0011383F" w:rsidP="00C74A1C">
      <w:pPr>
        <w:ind w:left="1701" w:hanging="1701"/>
      </w:pPr>
      <w:r>
        <w:fldChar w:fldCharType="begin"/>
      </w:r>
      <w:r>
        <w:instrText xml:space="preserve"> TOC \o "7-7" \h \z </w:instrText>
      </w:r>
      <w:r>
        <w:fldChar w:fldCharType="separate"/>
      </w:r>
      <w:r w:rsidR="002A2EB1">
        <w:rPr>
          <w:b/>
          <w:bCs/>
          <w:noProof/>
          <w:lang w:val="en-US"/>
        </w:rPr>
        <w:t>No table of contents entries found.</w:t>
      </w:r>
      <w:r>
        <w:rPr>
          <w:b/>
          <w:bCs/>
          <w:noProof/>
          <w:lang w:val="en-US"/>
        </w:rPr>
        <w:fldChar w:fldCharType="end"/>
      </w:r>
      <w:bookmarkEnd w:id="6"/>
    </w:p>
    <w:bookmarkEnd w:id="1"/>
    <w:p w14:paraId="3C7957A4" w14:textId="77777777" w:rsidR="00872BEF" w:rsidRDefault="00872BEF" w:rsidP="00872BEF"/>
    <w:p w14:paraId="1623F0BE" w14:textId="6F18C29F" w:rsidR="0041260A" w:rsidRDefault="0041260A">
      <w:r>
        <w:br w:type="page"/>
      </w:r>
    </w:p>
    <w:tbl>
      <w:tblPr>
        <w:tblStyle w:val="INPEXtable"/>
        <w:tblW w:w="0" w:type="auto"/>
        <w:tblLook w:val="04A0" w:firstRow="1" w:lastRow="0" w:firstColumn="1" w:lastColumn="0" w:noHBand="0" w:noVBand="1"/>
      </w:tblPr>
      <w:tblGrid>
        <w:gridCol w:w="4530"/>
        <w:gridCol w:w="4531"/>
      </w:tblGrid>
      <w:tr w:rsidR="0041260A" w14:paraId="789764DB" w14:textId="77777777" w:rsidTr="004126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0" w:type="dxa"/>
          </w:tcPr>
          <w:p w14:paraId="53307C6F" w14:textId="4F384CFE" w:rsidR="0041260A" w:rsidRDefault="0041260A" w:rsidP="0041260A">
            <w:pPr>
              <w:pStyle w:val="Tabletext9"/>
            </w:pPr>
            <w:r>
              <w:lastRenderedPageBreak/>
              <w:t>Acronym, term or abbreviation</w:t>
            </w:r>
          </w:p>
        </w:tc>
        <w:tc>
          <w:tcPr>
            <w:tcW w:w="4531" w:type="dxa"/>
          </w:tcPr>
          <w:p w14:paraId="06229AC0" w14:textId="2F8F4546" w:rsidR="0041260A" w:rsidRDefault="0041260A" w:rsidP="0041260A">
            <w:pPr>
              <w:pStyle w:val="Tabletext9"/>
              <w:cnfStyle w:val="100000000000" w:firstRow="1" w:lastRow="0" w:firstColumn="0" w:lastColumn="0" w:oddVBand="0" w:evenVBand="0" w:oddHBand="0" w:evenHBand="0" w:firstRowFirstColumn="0" w:firstRowLastColumn="0" w:lastRowFirstColumn="0" w:lastRowLastColumn="0"/>
            </w:pPr>
            <w:r>
              <w:t>Description</w:t>
            </w:r>
          </w:p>
        </w:tc>
      </w:tr>
      <w:tr w:rsidR="00280B4A" w14:paraId="5CEBAA47" w14:textId="77777777" w:rsidTr="00412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6335F84E" w14:textId="30EA21B3" w:rsidR="00280B4A" w:rsidRDefault="00280B4A" w:rsidP="0041260A">
            <w:pPr>
              <w:pStyle w:val="Tabletext9"/>
            </w:pPr>
            <w:r>
              <w:t>CCS</w:t>
            </w:r>
          </w:p>
        </w:tc>
        <w:tc>
          <w:tcPr>
            <w:tcW w:w="4531" w:type="dxa"/>
          </w:tcPr>
          <w:p w14:paraId="2883A207" w14:textId="6354F529" w:rsidR="00280B4A" w:rsidRDefault="00280B4A" w:rsidP="0041260A">
            <w:pPr>
              <w:pStyle w:val="Tabletext9"/>
              <w:cnfStyle w:val="000000100000" w:firstRow="0" w:lastRow="0" w:firstColumn="0" w:lastColumn="0" w:oddVBand="0" w:evenVBand="0" w:oddHBand="1" w:evenHBand="0" w:firstRowFirstColumn="0" w:firstRowLastColumn="0" w:lastRowFirstColumn="0" w:lastRowLastColumn="0"/>
            </w:pPr>
            <w:r>
              <w:t>carbon capture storage</w:t>
            </w:r>
          </w:p>
        </w:tc>
      </w:tr>
      <w:tr w:rsidR="0041260A" w14:paraId="0F9D8B06" w14:textId="77777777" w:rsidTr="004126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F361694" w14:textId="49056276" w:rsidR="0041260A" w:rsidRDefault="00583AF2" w:rsidP="0041260A">
            <w:pPr>
              <w:pStyle w:val="Tabletext9"/>
            </w:pPr>
            <w:r>
              <w:t>EP</w:t>
            </w:r>
          </w:p>
        </w:tc>
        <w:tc>
          <w:tcPr>
            <w:tcW w:w="4531" w:type="dxa"/>
          </w:tcPr>
          <w:p w14:paraId="490CEAEE" w14:textId="4171DDE9" w:rsidR="0041260A" w:rsidRDefault="00B451D9" w:rsidP="0041260A">
            <w:pPr>
              <w:pStyle w:val="Tabletext9"/>
              <w:cnfStyle w:val="000000010000" w:firstRow="0" w:lastRow="0" w:firstColumn="0" w:lastColumn="0" w:oddVBand="0" w:evenVBand="0" w:oddHBand="0" w:evenHBand="1" w:firstRowFirstColumn="0" w:firstRowLastColumn="0" w:lastRowFirstColumn="0" w:lastRowLastColumn="0"/>
            </w:pPr>
            <w:r>
              <w:t xml:space="preserve">Environment plan, namely the </w:t>
            </w:r>
            <w:r w:rsidR="00F9771F">
              <w:t xml:space="preserve">Bonaparte Basin Exploration </w:t>
            </w:r>
            <w:r>
              <w:t>Drilling EP</w:t>
            </w:r>
            <w:r w:rsidR="00F9771F">
              <w:t xml:space="preserve"> </w:t>
            </w:r>
          </w:p>
        </w:tc>
      </w:tr>
      <w:tr w:rsidR="0041260A" w14:paraId="526BBFE1" w14:textId="77777777" w:rsidTr="00412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9EB2180" w14:textId="36DD7B53" w:rsidR="0041260A" w:rsidRDefault="003361DD" w:rsidP="0041260A">
            <w:pPr>
              <w:pStyle w:val="Tabletext9"/>
            </w:pPr>
            <w:r>
              <w:t>GHG</w:t>
            </w:r>
          </w:p>
        </w:tc>
        <w:tc>
          <w:tcPr>
            <w:tcW w:w="4531" w:type="dxa"/>
          </w:tcPr>
          <w:p w14:paraId="3C70E771" w14:textId="04B25967" w:rsidR="0041260A" w:rsidRDefault="003361DD" w:rsidP="0041260A">
            <w:pPr>
              <w:pStyle w:val="Tabletext9"/>
              <w:cnfStyle w:val="000000100000" w:firstRow="0" w:lastRow="0" w:firstColumn="0" w:lastColumn="0" w:oddVBand="0" w:evenVBand="0" w:oddHBand="1" w:evenHBand="0" w:firstRowFirstColumn="0" w:firstRowLastColumn="0" w:lastRowFirstColumn="0" w:lastRowLastColumn="0"/>
            </w:pPr>
            <w:r>
              <w:t>Greenhouse gas</w:t>
            </w:r>
          </w:p>
        </w:tc>
      </w:tr>
      <w:tr w:rsidR="00280B4A" w14:paraId="7EDE24BA" w14:textId="77777777" w:rsidTr="004126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0605D70" w14:textId="5AC4FA11" w:rsidR="00280B4A" w:rsidDel="0097600E" w:rsidRDefault="00280B4A" w:rsidP="00280B4A">
            <w:pPr>
              <w:pStyle w:val="Tabletext9"/>
            </w:pPr>
            <w:r>
              <w:t>INPEX</w:t>
            </w:r>
          </w:p>
        </w:tc>
        <w:tc>
          <w:tcPr>
            <w:tcW w:w="4531" w:type="dxa"/>
          </w:tcPr>
          <w:p w14:paraId="1BED6F93" w14:textId="51BA44FA" w:rsidR="00280B4A" w:rsidDel="0097600E" w:rsidRDefault="00280B4A" w:rsidP="00280B4A">
            <w:pPr>
              <w:pStyle w:val="Tabletext9"/>
              <w:cnfStyle w:val="000000010000" w:firstRow="0" w:lastRow="0" w:firstColumn="0" w:lastColumn="0" w:oddVBand="0" w:evenVBand="0" w:oddHBand="0" w:evenHBand="1" w:firstRowFirstColumn="0" w:firstRowLastColumn="0" w:lastRowFirstColumn="0" w:lastRowLastColumn="0"/>
            </w:pPr>
            <w:r w:rsidRPr="00321673">
              <w:t>INPEX Browse E&amp;P Pty Ltd</w:t>
            </w:r>
          </w:p>
        </w:tc>
      </w:tr>
    </w:tbl>
    <w:p w14:paraId="23EF413A" w14:textId="77777777" w:rsidR="00BE03C7" w:rsidRDefault="00BE03C7" w:rsidP="00872BEF"/>
    <w:p w14:paraId="4F7B4252" w14:textId="77777777" w:rsidR="007809CA" w:rsidRDefault="007809CA" w:rsidP="007077E6">
      <w:pPr>
        <w:pStyle w:val="BodyText"/>
        <w:rPr>
          <w:lang w:eastAsia="ja-JP"/>
        </w:rPr>
      </w:pPr>
    </w:p>
    <w:p w14:paraId="46AC2785" w14:textId="0416A284" w:rsidR="007809CA" w:rsidRPr="000070DA" w:rsidRDefault="007809CA" w:rsidP="007077E6">
      <w:pPr>
        <w:pStyle w:val="BodyText"/>
        <w:rPr>
          <w:lang w:eastAsia="ja-JP"/>
        </w:rPr>
        <w:sectPr w:rsidR="007809CA" w:rsidRPr="000070DA" w:rsidSect="00466FAE">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1906" w:h="16838" w:code="9"/>
          <w:pgMar w:top="1134" w:right="1134" w:bottom="1701" w:left="1701" w:header="1134" w:footer="709" w:gutter="0"/>
          <w:pgNumType w:fmt="lowerRoman"/>
          <w:cols w:space="708"/>
          <w:titlePg/>
          <w:docGrid w:linePitch="360"/>
        </w:sectPr>
      </w:pPr>
    </w:p>
    <w:p w14:paraId="5574EA17" w14:textId="0678C873" w:rsidR="007A4997" w:rsidRDefault="001D5730" w:rsidP="00E766A4">
      <w:pPr>
        <w:pStyle w:val="Heading1"/>
      </w:pPr>
      <w:bookmarkStart w:id="8" w:name="_Toc142894146"/>
      <w:r>
        <w:lastRenderedPageBreak/>
        <w:t>I</w:t>
      </w:r>
      <w:r w:rsidR="00171C9A">
        <w:t>n</w:t>
      </w:r>
      <w:r>
        <w:t>troduction</w:t>
      </w:r>
      <w:bookmarkEnd w:id="8"/>
      <w:r w:rsidR="00E67020">
        <w:t xml:space="preserve"> </w:t>
      </w:r>
    </w:p>
    <w:p w14:paraId="04CB5AAE" w14:textId="022C0106" w:rsidR="00674D9B" w:rsidRDefault="001D5730" w:rsidP="000D45C1">
      <w:pPr>
        <w:pStyle w:val="BodyText"/>
      </w:pPr>
      <w:r>
        <w:t>The following Titleholder Report on Public Comment applies to the</w:t>
      </w:r>
      <w:r w:rsidR="00B952AC">
        <w:t xml:space="preserve"> Bonaparte Basin Exploration Drilling</w:t>
      </w:r>
      <w:r w:rsidR="00861C01">
        <w:t xml:space="preserve"> </w:t>
      </w:r>
      <w:r w:rsidR="00AF4319">
        <w:t>environment plan</w:t>
      </w:r>
      <w:r w:rsidR="00841328">
        <w:t xml:space="preserve"> (hereafter referred to</w:t>
      </w:r>
      <w:r w:rsidR="00521070">
        <w:t xml:space="preserve"> as</w:t>
      </w:r>
      <w:r w:rsidR="00841328">
        <w:t xml:space="preserve"> the EP)</w:t>
      </w:r>
      <w:r>
        <w:t>, which was available for public comment from</w:t>
      </w:r>
      <w:r w:rsidR="00AE352F">
        <w:t xml:space="preserve"> 6</w:t>
      </w:r>
      <w:r w:rsidR="00AE352F" w:rsidRPr="00AE352F">
        <w:rPr>
          <w:vertAlign w:val="superscript"/>
        </w:rPr>
        <w:t>th</w:t>
      </w:r>
      <w:r w:rsidR="00AE352F">
        <w:t xml:space="preserve"> September 2022</w:t>
      </w:r>
      <w:r>
        <w:t xml:space="preserve"> to</w:t>
      </w:r>
      <w:r w:rsidR="00AE352F">
        <w:t xml:space="preserve"> 6</w:t>
      </w:r>
      <w:r w:rsidR="00AE352F" w:rsidRPr="00AE352F">
        <w:rPr>
          <w:vertAlign w:val="superscript"/>
        </w:rPr>
        <w:t>th</w:t>
      </w:r>
      <w:r w:rsidR="00AE352F">
        <w:t xml:space="preserve"> October 2022</w:t>
      </w:r>
      <w:r>
        <w:t xml:space="preserve">. </w:t>
      </w:r>
      <w:r w:rsidR="00841328">
        <w:t xml:space="preserve">The titleholder contact details for the EP are provided in </w:t>
      </w:r>
      <w:r w:rsidR="00DB67AC">
        <w:fldChar w:fldCharType="begin"/>
      </w:r>
      <w:r w:rsidR="00DB67AC">
        <w:instrText xml:space="preserve"> REF _Ref114066757 \h </w:instrText>
      </w:r>
      <w:r w:rsidR="00DB67AC">
        <w:fldChar w:fldCharType="separate"/>
      </w:r>
      <w:r w:rsidR="002A2EB1">
        <w:t xml:space="preserve">Table </w:t>
      </w:r>
      <w:r w:rsidR="002A2EB1">
        <w:rPr>
          <w:noProof/>
        </w:rPr>
        <w:t>1</w:t>
      </w:r>
      <w:r w:rsidR="002A2EB1">
        <w:noBreakHyphen/>
      </w:r>
      <w:r w:rsidR="002A2EB1">
        <w:rPr>
          <w:noProof/>
        </w:rPr>
        <w:t>1</w:t>
      </w:r>
      <w:r w:rsidR="00DB67AC">
        <w:fldChar w:fldCharType="end"/>
      </w:r>
      <w:r w:rsidR="00C0062D">
        <w:t>.</w:t>
      </w:r>
    </w:p>
    <w:p w14:paraId="181A71A6" w14:textId="3E49EDB0" w:rsidR="00CB7B62" w:rsidRDefault="00CB7B62" w:rsidP="00835138">
      <w:pPr>
        <w:pStyle w:val="Caption"/>
      </w:pPr>
      <w:bookmarkStart w:id="9" w:name="_Ref114066757"/>
      <w:bookmarkStart w:id="10" w:name="_Toc142894152"/>
      <w:r>
        <w:t xml:space="preserve">Table </w:t>
      </w:r>
      <w:r w:rsidR="0011383F">
        <w:fldChar w:fldCharType="begin"/>
      </w:r>
      <w:r w:rsidR="0011383F">
        <w:instrText xml:space="preserve"> STYLEREF 1 \s </w:instrText>
      </w:r>
      <w:r w:rsidR="0011383F">
        <w:fldChar w:fldCharType="separate"/>
      </w:r>
      <w:r w:rsidR="002A2EB1">
        <w:rPr>
          <w:noProof/>
        </w:rPr>
        <w:t>1</w:t>
      </w:r>
      <w:r w:rsidR="0011383F">
        <w:rPr>
          <w:noProof/>
        </w:rPr>
        <w:fldChar w:fldCharType="end"/>
      </w:r>
      <w:r w:rsidR="009D2355">
        <w:noBreakHyphen/>
      </w:r>
      <w:r w:rsidR="0011383F">
        <w:fldChar w:fldCharType="begin"/>
      </w:r>
      <w:r w:rsidR="0011383F">
        <w:instrText xml:space="preserve"> SEQ Table \* ARABIC \s 1 </w:instrText>
      </w:r>
      <w:r w:rsidR="0011383F">
        <w:fldChar w:fldCharType="separate"/>
      </w:r>
      <w:r w:rsidR="002A2EB1">
        <w:rPr>
          <w:noProof/>
        </w:rPr>
        <w:t>1</w:t>
      </w:r>
      <w:r w:rsidR="0011383F">
        <w:rPr>
          <w:noProof/>
        </w:rPr>
        <w:fldChar w:fldCharType="end"/>
      </w:r>
      <w:bookmarkEnd w:id="9"/>
      <w:r>
        <w:t>: Titleholder details</w:t>
      </w:r>
      <w:bookmarkEnd w:id="10"/>
    </w:p>
    <w:tbl>
      <w:tblPr>
        <w:tblStyle w:val="TableGrid"/>
        <w:tblW w:w="0" w:type="auto"/>
        <w:tblLook w:val="04A0" w:firstRow="1" w:lastRow="0" w:firstColumn="1" w:lastColumn="0" w:noHBand="0" w:noVBand="1"/>
      </w:tblPr>
      <w:tblGrid>
        <w:gridCol w:w="2405"/>
        <w:gridCol w:w="6657"/>
      </w:tblGrid>
      <w:tr w:rsidR="00C0062D" w14:paraId="159F9C5D" w14:textId="77777777" w:rsidTr="006A558D">
        <w:tc>
          <w:tcPr>
            <w:tcW w:w="2405" w:type="dxa"/>
            <w:shd w:val="clear" w:color="auto" w:fill="D9D9D9" w:themeFill="background1" w:themeFillShade="D9"/>
          </w:tcPr>
          <w:p w14:paraId="78033425" w14:textId="50C3DB32" w:rsidR="00C0062D" w:rsidRPr="006A558D" w:rsidRDefault="008171D7" w:rsidP="006411CD">
            <w:pPr>
              <w:pStyle w:val="Tabletext9"/>
              <w:spacing w:before="120" w:after="120"/>
              <w:rPr>
                <w:b/>
                <w:bCs/>
              </w:rPr>
            </w:pPr>
            <w:r>
              <w:rPr>
                <w:b/>
                <w:bCs/>
              </w:rPr>
              <w:t>Titleholder</w:t>
            </w:r>
          </w:p>
        </w:tc>
        <w:tc>
          <w:tcPr>
            <w:tcW w:w="6657" w:type="dxa"/>
          </w:tcPr>
          <w:p w14:paraId="2DF470FE" w14:textId="334DF449" w:rsidR="00C0062D" w:rsidRDefault="00321673" w:rsidP="006411CD">
            <w:pPr>
              <w:pStyle w:val="Tabletext9"/>
              <w:spacing w:before="120" w:after="120"/>
            </w:pPr>
            <w:r w:rsidRPr="00321673">
              <w:t>INPEX Browse E&amp;P Pty Ltd</w:t>
            </w:r>
            <w:r w:rsidR="0041260A" w:rsidRPr="00321673">
              <w:t xml:space="preserve"> (INPEX</w:t>
            </w:r>
            <w:r w:rsidR="0041260A">
              <w:t>)</w:t>
            </w:r>
          </w:p>
        </w:tc>
      </w:tr>
      <w:tr w:rsidR="00AE0C6D" w14:paraId="0DAFFF8C" w14:textId="77777777" w:rsidTr="006A558D">
        <w:tc>
          <w:tcPr>
            <w:tcW w:w="2405" w:type="dxa"/>
            <w:shd w:val="clear" w:color="auto" w:fill="D9D9D9" w:themeFill="background1" w:themeFillShade="D9"/>
          </w:tcPr>
          <w:p w14:paraId="1F92A946" w14:textId="305BCD2D" w:rsidR="00AE0C6D" w:rsidRPr="006A558D" w:rsidRDefault="00AE0C6D" w:rsidP="006411CD">
            <w:pPr>
              <w:pStyle w:val="Tabletext9"/>
              <w:spacing w:before="120" w:after="120"/>
              <w:rPr>
                <w:b/>
                <w:bCs/>
              </w:rPr>
            </w:pPr>
            <w:r>
              <w:rPr>
                <w:b/>
                <w:bCs/>
              </w:rPr>
              <w:t xml:space="preserve">Titleholder </w:t>
            </w:r>
            <w:r w:rsidR="00151F10">
              <w:rPr>
                <w:b/>
                <w:bCs/>
              </w:rPr>
              <w:t>liaison person</w:t>
            </w:r>
          </w:p>
        </w:tc>
        <w:tc>
          <w:tcPr>
            <w:tcW w:w="6657" w:type="dxa"/>
          </w:tcPr>
          <w:p w14:paraId="5874A377" w14:textId="454B5A62" w:rsidR="00AE0C6D" w:rsidRDefault="00151F10" w:rsidP="006411CD">
            <w:pPr>
              <w:pStyle w:val="Tabletext9"/>
              <w:spacing w:before="120" w:after="120"/>
            </w:pPr>
            <w:r>
              <w:t>Jake Prout</w:t>
            </w:r>
          </w:p>
        </w:tc>
      </w:tr>
      <w:tr w:rsidR="00C0062D" w14:paraId="378A4C40" w14:textId="77777777" w:rsidTr="006A558D">
        <w:tc>
          <w:tcPr>
            <w:tcW w:w="2405" w:type="dxa"/>
            <w:shd w:val="clear" w:color="auto" w:fill="D9D9D9" w:themeFill="background1" w:themeFillShade="D9"/>
          </w:tcPr>
          <w:p w14:paraId="273E5854" w14:textId="67E8A66A" w:rsidR="00C0062D" w:rsidRPr="006A558D" w:rsidRDefault="002A3894" w:rsidP="006411CD">
            <w:pPr>
              <w:pStyle w:val="Tabletext9"/>
              <w:spacing w:before="120" w:after="120"/>
              <w:rPr>
                <w:b/>
                <w:bCs/>
              </w:rPr>
            </w:pPr>
            <w:r w:rsidRPr="006A558D">
              <w:rPr>
                <w:b/>
                <w:bCs/>
              </w:rPr>
              <w:t>Business address</w:t>
            </w:r>
          </w:p>
        </w:tc>
        <w:tc>
          <w:tcPr>
            <w:tcW w:w="6657" w:type="dxa"/>
          </w:tcPr>
          <w:p w14:paraId="1DCF5F5E" w14:textId="6E821054" w:rsidR="00C0062D" w:rsidRDefault="00151F10" w:rsidP="006411CD">
            <w:pPr>
              <w:pStyle w:val="Tabletext9"/>
              <w:spacing w:before="120" w:after="120"/>
            </w:pPr>
            <w:r>
              <w:t xml:space="preserve">Level 22, 100 St Georges </w:t>
            </w:r>
            <w:proofErr w:type="spellStart"/>
            <w:r>
              <w:t>Tce</w:t>
            </w:r>
            <w:proofErr w:type="spellEnd"/>
            <w:r>
              <w:t>, Perth, WA 6000</w:t>
            </w:r>
          </w:p>
        </w:tc>
      </w:tr>
      <w:tr w:rsidR="00C0062D" w14:paraId="0F2029B7" w14:textId="77777777" w:rsidTr="006A558D">
        <w:tc>
          <w:tcPr>
            <w:tcW w:w="2405" w:type="dxa"/>
            <w:shd w:val="clear" w:color="auto" w:fill="D9D9D9" w:themeFill="background1" w:themeFillShade="D9"/>
          </w:tcPr>
          <w:p w14:paraId="4F9C0871" w14:textId="036614BD" w:rsidR="00C0062D" w:rsidRPr="006A558D" w:rsidRDefault="002A3894" w:rsidP="006411CD">
            <w:pPr>
              <w:pStyle w:val="Tabletext9"/>
              <w:spacing w:before="120" w:after="120"/>
              <w:rPr>
                <w:b/>
                <w:bCs/>
              </w:rPr>
            </w:pPr>
            <w:r w:rsidRPr="006A558D">
              <w:rPr>
                <w:b/>
                <w:bCs/>
              </w:rPr>
              <w:t>Tel</w:t>
            </w:r>
            <w:r w:rsidR="006A558D" w:rsidRPr="006A558D">
              <w:rPr>
                <w:b/>
                <w:bCs/>
              </w:rPr>
              <w:t>e</w:t>
            </w:r>
            <w:r w:rsidRPr="006A558D">
              <w:rPr>
                <w:b/>
                <w:bCs/>
              </w:rPr>
              <w:t>phone number</w:t>
            </w:r>
          </w:p>
        </w:tc>
        <w:tc>
          <w:tcPr>
            <w:tcW w:w="6657" w:type="dxa"/>
          </w:tcPr>
          <w:p w14:paraId="2FFCC50C" w14:textId="383E63A6" w:rsidR="00C0062D" w:rsidRDefault="008171D7" w:rsidP="006411CD">
            <w:pPr>
              <w:pStyle w:val="Tabletext9"/>
              <w:spacing w:before="120" w:after="120"/>
            </w:pPr>
            <w:r>
              <w:t>+61 8 6213 6000</w:t>
            </w:r>
          </w:p>
        </w:tc>
      </w:tr>
      <w:tr w:rsidR="00C0062D" w14:paraId="5E4EC319" w14:textId="77777777" w:rsidTr="006A558D">
        <w:tc>
          <w:tcPr>
            <w:tcW w:w="2405" w:type="dxa"/>
            <w:shd w:val="clear" w:color="auto" w:fill="D9D9D9" w:themeFill="background1" w:themeFillShade="D9"/>
          </w:tcPr>
          <w:p w14:paraId="5FED087A" w14:textId="467D74AC" w:rsidR="00C0062D" w:rsidRPr="006A558D" w:rsidRDefault="002A3894" w:rsidP="006411CD">
            <w:pPr>
              <w:pStyle w:val="Tabletext9"/>
              <w:spacing w:before="120" w:after="120"/>
              <w:rPr>
                <w:b/>
                <w:bCs/>
              </w:rPr>
            </w:pPr>
            <w:r w:rsidRPr="006A558D">
              <w:rPr>
                <w:b/>
                <w:bCs/>
              </w:rPr>
              <w:t>Fax number</w:t>
            </w:r>
          </w:p>
        </w:tc>
        <w:tc>
          <w:tcPr>
            <w:tcW w:w="6657" w:type="dxa"/>
          </w:tcPr>
          <w:p w14:paraId="236B1699" w14:textId="0DBB6B63" w:rsidR="00C0062D" w:rsidRDefault="00AE0C6D" w:rsidP="006411CD">
            <w:pPr>
              <w:pStyle w:val="Tabletext9"/>
              <w:spacing w:before="120" w:after="120"/>
            </w:pPr>
            <w:r>
              <w:t xml:space="preserve">+61 8 </w:t>
            </w:r>
            <w:r w:rsidR="008171D7">
              <w:t>62313 6455</w:t>
            </w:r>
          </w:p>
        </w:tc>
      </w:tr>
      <w:tr w:rsidR="00C0062D" w14:paraId="19B9C06D" w14:textId="77777777" w:rsidTr="006A558D">
        <w:tc>
          <w:tcPr>
            <w:tcW w:w="2405" w:type="dxa"/>
            <w:shd w:val="clear" w:color="auto" w:fill="D9D9D9" w:themeFill="background1" w:themeFillShade="D9"/>
          </w:tcPr>
          <w:p w14:paraId="0E9F75EB" w14:textId="7E3D466F" w:rsidR="00C0062D" w:rsidRPr="006A558D" w:rsidRDefault="002A3894" w:rsidP="006411CD">
            <w:pPr>
              <w:pStyle w:val="Tabletext9"/>
              <w:spacing w:before="120" w:after="120"/>
              <w:rPr>
                <w:b/>
                <w:bCs/>
              </w:rPr>
            </w:pPr>
            <w:r w:rsidRPr="006A558D">
              <w:rPr>
                <w:b/>
                <w:bCs/>
              </w:rPr>
              <w:t>Email address</w:t>
            </w:r>
          </w:p>
        </w:tc>
        <w:tc>
          <w:tcPr>
            <w:tcW w:w="6657" w:type="dxa"/>
          </w:tcPr>
          <w:p w14:paraId="167B7810" w14:textId="0FEB8BF1" w:rsidR="00C0062D" w:rsidRDefault="0011383F" w:rsidP="006411CD">
            <w:pPr>
              <w:pStyle w:val="Tabletext9"/>
              <w:spacing w:before="120" w:after="120"/>
            </w:pPr>
            <w:hyperlink r:id="rId20" w:history="1">
              <w:r w:rsidR="0026219B" w:rsidRPr="002A4A3E">
                <w:rPr>
                  <w:rStyle w:val="Hyperlink"/>
                </w:rPr>
                <w:t>jake.prout@inpex.com.au</w:t>
              </w:r>
            </w:hyperlink>
            <w:r w:rsidR="0026219B">
              <w:t xml:space="preserve"> </w:t>
            </w:r>
          </w:p>
        </w:tc>
      </w:tr>
    </w:tbl>
    <w:p w14:paraId="24891BCD" w14:textId="640E8E20" w:rsidR="008B041D" w:rsidRDefault="00E2033F" w:rsidP="008B041D">
      <w:pPr>
        <w:pStyle w:val="Heading2"/>
      </w:pPr>
      <w:bookmarkStart w:id="11" w:name="_Toc142894147"/>
      <w:r>
        <w:t>P</w:t>
      </w:r>
      <w:r w:rsidR="008B041D">
        <w:t>ublic comments</w:t>
      </w:r>
      <w:r w:rsidR="00C623FA">
        <w:t xml:space="preserve"> </w:t>
      </w:r>
      <w:r w:rsidR="00932F50">
        <w:t>evaluation and response</w:t>
      </w:r>
      <w:r w:rsidR="00C623FA">
        <w:t xml:space="preserve"> process</w:t>
      </w:r>
      <w:bookmarkEnd w:id="11"/>
    </w:p>
    <w:p w14:paraId="7D5F7B76" w14:textId="0E8F24F2" w:rsidR="00841328" w:rsidRDefault="00A63781" w:rsidP="00A63781">
      <w:pPr>
        <w:pStyle w:val="BodyText-AfterTable"/>
      </w:pPr>
      <w:r>
        <w:t xml:space="preserve">The </w:t>
      </w:r>
      <w:r w:rsidR="00674D9B">
        <w:t xml:space="preserve">NOPSEMA </w:t>
      </w:r>
      <w:r w:rsidR="00674D9B" w:rsidRPr="009B33EE">
        <w:rPr>
          <w:i/>
          <w:iCs/>
        </w:rPr>
        <w:t>Responding to Public Comment on Environment Plans</w:t>
      </w:r>
      <w:r w:rsidR="003D5263" w:rsidRPr="009B33EE">
        <w:rPr>
          <w:i/>
          <w:iCs/>
        </w:rPr>
        <w:t xml:space="preserve"> Guidance Note</w:t>
      </w:r>
      <w:r w:rsidR="001D5730">
        <w:t xml:space="preserve"> </w:t>
      </w:r>
      <w:r w:rsidR="00674D9B">
        <w:t xml:space="preserve">(N-04750-GN1847), outlines </w:t>
      </w:r>
      <w:r w:rsidR="00B16628">
        <w:t>the</w:t>
      </w:r>
      <w:r w:rsidR="00674D9B">
        <w:t xml:space="preserve"> requirements </w:t>
      </w:r>
      <w:r>
        <w:t xml:space="preserve">for </w:t>
      </w:r>
      <w:r w:rsidR="00674D9B">
        <w:t>responding to public comments received on an environment plan.</w:t>
      </w:r>
      <w:r w:rsidR="00674D9B" w:rsidRPr="00674D9B">
        <w:t xml:space="preserve"> </w:t>
      </w:r>
      <w:r w:rsidR="00674D9B">
        <w:t>Specifically</w:t>
      </w:r>
      <w:r w:rsidR="00F95EDB">
        <w:t>,</w:t>
      </w:r>
      <w:r w:rsidR="00674D9B">
        <w:t xml:space="preserve"> it requires </w:t>
      </w:r>
      <w:r w:rsidR="00F60B5D">
        <w:t xml:space="preserve">that </w:t>
      </w:r>
      <w:r w:rsidR="00674D9B">
        <w:t xml:space="preserve">a titleholder </w:t>
      </w:r>
      <w:r w:rsidR="00427EB4">
        <w:t xml:space="preserve">must respond to any comments received during the public comment period in </w:t>
      </w:r>
      <w:r w:rsidR="00674D9B">
        <w:t>“general terms”</w:t>
      </w:r>
      <w:r w:rsidR="0044169D">
        <w:rPr>
          <w:rStyle w:val="FootnoteReference"/>
        </w:rPr>
        <w:footnoteReference w:id="2"/>
      </w:r>
      <w:r w:rsidR="00674D9B">
        <w:t>.</w:t>
      </w:r>
      <w:r w:rsidR="00841328">
        <w:t xml:space="preserve"> </w:t>
      </w:r>
    </w:p>
    <w:p w14:paraId="2FEDEB04" w14:textId="56B598D8" w:rsidR="00C42899" w:rsidRDefault="00F33B4A" w:rsidP="000605FF">
      <w:pPr>
        <w:pStyle w:val="BodyText"/>
      </w:pPr>
      <w:r>
        <w:t xml:space="preserve">The process followed by </w:t>
      </w:r>
      <w:r w:rsidR="007B1990">
        <w:t>INPEX when responding to public comments</w:t>
      </w:r>
      <w:r w:rsidR="000B5155">
        <w:t>, is as follows:</w:t>
      </w:r>
    </w:p>
    <w:p w14:paraId="0FB588AA" w14:textId="3119D87C" w:rsidR="000B5155" w:rsidRDefault="009D7B74" w:rsidP="000B5155">
      <w:pPr>
        <w:pStyle w:val="ListNumber"/>
      </w:pPr>
      <w:r>
        <w:t>Review public comments and identify matters raised (themes and issues)</w:t>
      </w:r>
      <w:r w:rsidR="00246676">
        <w:t xml:space="preserve"> and specific claims relating to these</w:t>
      </w:r>
      <w:r w:rsidR="000D3C36">
        <w:t>.</w:t>
      </w:r>
    </w:p>
    <w:p w14:paraId="1DD78F66" w14:textId="0EB4B943" w:rsidR="009D7B74" w:rsidRDefault="009D7B74" w:rsidP="000B5155">
      <w:pPr>
        <w:pStyle w:val="ListNumber"/>
      </w:pPr>
      <w:r>
        <w:t>Evaluate</w:t>
      </w:r>
      <w:r w:rsidR="00737B0F">
        <w:t xml:space="preserve"> matters raised </w:t>
      </w:r>
      <w:r w:rsidR="000D3C36">
        <w:t xml:space="preserve">in context of </w:t>
      </w:r>
      <w:r w:rsidR="00737B0F">
        <w:t>the EP or activity</w:t>
      </w:r>
      <w:r w:rsidR="000D3C36">
        <w:t>.</w:t>
      </w:r>
    </w:p>
    <w:p w14:paraId="2F909086" w14:textId="514DE1F0" w:rsidR="006A459C" w:rsidRDefault="00737B0F" w:rsidP="000B5155">
      <w:pPr>
        <w:pStyle w:val="ListNumber"/>
      </w:pPr>
      <w:r>
        <w:t xml:space="preserve">Provide a </w:t>
      </w:r>
      <w:r w:rsidR="00147F73">
        <w:t>statement</w:t>
      </w:r>
      <w:r w:rsidR="00286539">
        <w:t xml:space="preserve"> outlining how </w:t>
      </w:r>
      <w:r w:rsidR="00013402">
        <w:t>any</w:t>
      </w:r>
      <w:r w:rsidR="00286539">
        <w:t xml:space="preserve"> </w:t>
      </w:r>
      <w:r w:rsidR="000B6019">
        <w:t xml:space="preserve">matter/s raised have </w:t>
      </w:r>
      <w:r w:rsidR="006A459C">
        <w:t>either:</w:t>
      </w:r>
    </w:p>
    <w:p w14:paraId="1881B454" w14:textId="72BA85D0" w:rsidR="006A459C" w:rsidRDefault="00933E62" w:rsidP="006A459C">
      <w:pPr>
        <w:pStyle w:val="ListNumber"/>
        <w:numPr>
          <w:ilvl w:val="1"/>
          <w:numId w:val="8"/>
        </w:numPr>
      </w:pPr>
      <w:r>
        <w:t xml:space="preserve">already </w:t>
      </w:r>
      <w:r w:rsidR="000B6019">
        <w:t xml:space="preserve">been </w:t>
      </w:r>
      <w:proofErr w:type="gramStart"/>
      <w:r w:rsidR="000B6019">
        <w:t>taken into account</w:t>
      </w:r>
      <w:proofErr w:type="gramEnd"/>
      <w:r w:rsidR="00E83682">
        <w:t xml:space="preserve"> within the EP</w:t>
      </w:r>
      <w:r w:rsidR="000B6019">
        <w:t xml:space="preserve"> </w:t>
      </w:r>
      <w:r w:rsidR="00147F73">
        <w:t xml:space="preserve">or </w:t>
      </w:r>
      <w:r w:rsidR="007272D7">
        <w:t>whether the EP has been updated to consider these</w:t>
      </w:r>
      <w:r w:rsidR="006A459C">
        <w:t>; or</w:t>
      </w:r>
    </w:p>
    <w:p w14:paraId="2460B192" w14:textId="54C0B699" w:rsidR="00737B0F" w:rsidRDefault="00B815B7" w:rsidP="006A459C">
      <w:pPr>
        <w:pStyle w:val="ListNumber"/>
        <w:numPr>
          <w:ilvl w:val="1"/>
          <w:numId w:val="8"/>
        </w:numPr>
      </w:pPr>
      <w:r>
        <w:t>do not relate to the EP</w:t>
      </w:r>
      <w:r w:rsidR="00933E62">
        <w:t xml:space="preserve"> or the activity described</w:t>
      </w:r>
      <w:r w:rsidR="00147F73">
        <w:t>.</w:t>
      </w:r>
    </w:p>
    <w:p w14:paraId="471BC96F" w14:textId="28A4B3FF" w:rsidR="00147F73" w:rsidRDefault="007272D7" w:rsidP="007272D7">
      <w:pPr>
        <w:pStyle w:val="ListNumber"/>
        <w:numPr>
          <w:ilvl w:val="0"/>
          <w:numId w:val="0"/>
        </w:numPr>
      </w:pPr>
      <w:r>
        <w:t xml:space="preserve">Where a </w:t>
      </w:r>
      <w:r w:rsidR="005F7A00">
        <w:t>public comment has triggered a change</w:t>
      </w:r>
      <w:r w:rsidR="00E672A4">
        <w:t>/update</w:t>
      </w:r>
      <w:r w:rsidR="005F7A00">
        <w:t xml:space="preserve"> to the EP, </w:t>
      </w:r>
      <w:r w:rsidR="00DF7428">
        <w:t xml:space="preserve">a reference to the section where </w:t>
      </w:r>
      <w:r w:rsidR="00507F08">
        <w:t>the change has been reflected will be provided in the response</w:t>
      </w:r>
      <w:r w:rsidR="000A0AA7">
        <w:t>.</w:t>
      </w:r>
      <w:r w:rsidR="00507F08">
        <w:t xml:space="preserve"> </w:t>
      </w:r>
      <w:r w:rsidR="000A0AA7">
        <w:t>Any new information incorporated into the EP has a result of public comments, will be clearly identified in the resubmitted EP</w:t>
      </w:r>
      <w:r w:rsidR="003C45BE">
        <w:t xml:space="preserve"> (i.e. text will be underlined)</w:t>
      </w:r>
      <w:r w:rsidR="00507F08">
        <w:t>.</w:t>
      </w:r>
    </w:p>
    <w:p w14:paraId="18DD0DF5" w14:textId="4A9ADB8A" w:rsidR="00C623FA" w:rsidRDefault="00C623FA" w:rsidP="00C623FA">
      <w:pPr>
        <w:pStyle w:val="Heading1"/>
      </w:pPr>
      <w:bookmarkStart w:id="12" w:name="_Toc142894148"/>
      <w:r>
        <w:lastRenderedPageBreak/>
        <w:t>Response to public comments</w:t>
      </w:r>
      <w:bookmarkEnd w:id="12"/>
    </w:p>
    <w:p w14:paraId="50C76D82" w14:textId="0F083D25" w:rsidR="000D45C1" w:rsidRDefault="0025345D" w:rsidP="00841328">
      <w:pPr>
        <w:pStyle w:val="BodyText"/>
      </w:pPr>
      <w:r>
        <w:t xml:space="preserve">During the public comment period a total </w:t>
      </w:r>
      <w:r w:rsidR="00674013">
        <w:t xml:space="preserve">of </w:t>
      </w:r>
      <w:r w:rsidR="00772B98">
        <w:t>four</w:t>
      </w:r>
      <w:r w:rsidR="00810953">
        <w:rPr>
          <w:i/>
          <w:iCs/>
        </w:rPr>
        <w:t xml:space="preserve"> </w:t>
      </w:r>
      <w:r>
        <w:t>submissions were received</w:t>
      </w:r>
      <w:r w:rsidR="00951ADC">
        <w:t>,</w:t>
      </w:r>
      <w:r w:rsidR="00FD604F">
        <w:t xml:space="preserve"> </w:t>
      </w:r>
      <w:r w:rsidR="00867193">
        <w:t xml:space="preserve">each providing </w:t>
      </w:r>
      <w:proofErr w:type="gramStart"/>
      <w:r w:rsidR="00867193">
        <w:t>a number of</w:t>
      </w:r>
      <w:proofErr w:type="gramEnd"/>
      <w:r w:rsidR="00867193">
        <w:t xml:space="preserve"> comments</w:t>
      </w:r>
      <w:r>
        <w:t xml:space="preserve">. </w:t>
      </w:r>
      <w:r w:rsidR="00C1293A">
        <w:t xml:space="preserve">Common </w:t>
      </w:r>
      <w:r w:rsidR="00841328">
        <w:t xml:space="preserve">themes raised during the public comment period for the EP are </w:t>
      </w:r>
      <w:r w:rsidR="00E364C1">
        <w:t>listed</w:t>
      </w:r>
      <w:r w:rsidR="00737891">
        <w:t xml:space="preserve"> </w:t>
      </w:r>
      <w:r w:rsidR="00841328">
        <w:t xml:space="preserve">in </w:t>
      </w:r>
      <w:r w:rsidR="00841328">
        <w:rPr>
          <w:highlight w:val="yellow"/>
        </w:rPr>
        <w:fldChar w:fldCharType="begin"/>
      </w:r>
      <w:r w:rsidR="00841328">
        <w:instrText xml:space="preserve"> REF _Ref114065628 \h </w:instrText>
      </w:r>
      <w:r w:rsidR="00841328">
        <w:rPr>
          <w:highlight w:val="yellow"/>
        </w:rPr>
      </w:r>
      <w:r w:rsidR="00841328">
        <w:rPr>
          <w:highlight w:val="yellow"/>
        </w:rPr>
        <w:fldChar w:fldCharType="separate"/>
      </w:r>
      <w:r w:rsidR="009E16FD">
        <w:t xml:space="preserve">Table </w:t>
      </w:r>
      <w:r w:rsidR="009E16FD">
        <w:rPr>
          <w:noProof/>
        </w:rPr>
        <w:t>2</w:t>
      </w:r>
      <w:r w:rsidR="009E16FD">
        <w:noBreakHyphen/>
      </w:r>
      <w:r w:rsidR="009E16FD">
        <w:rPr>
          <w:noProof/>
        </w:rPr>
        <w:t>1</w:t>
      </w:r>
      <w:r w:rsidR="00841328">
        <w:rPr>
          <w:highlight w:val="yellow"/>
        </w:rPr>
        <w:fldChar w:fldCharType="end"/>
      </w:r>
      <w:r w:rsidR="00E364C1">
        <w:t xml:space="preserve"> and shown in</w:t>
      </w:r>
      <w:r w:rsidR="009E16FD">
        <w:t xml:space="preserve"> </w:t>
      </w:r>
      <w:r w:rsidR="009E16FD">
        <w:fldChar w:fldCharType="begin"/>
      </w:r>
      <w:r w:rsidR="009E16FD">
        <w:instrText xml:space="preserve"> REF _Ref118988000 \h </w:instrText>
      </w:r>
      <w:r w:rsidR="009E16FD">
        <w:fldChar w:fldCharType="separate"/>
      </w:r>
      <w:r w:rsidR="009E16FD">
        <w:t xml:space="preserve">Figure </w:t>
      </w:r>
      <w:r w:rsidR="009E16FD">
        <w:rPr>
          <w:noProof/>
        </w:rPr>
        <w:t>2</w:t>
      </w:r>
      <w:r w:rsidR="009E16FD">
        <w:noBreakHyphen/>
      </w:r>
      <w:r w:rsidR="009E16FD">
        <w:rPr>
          <w:noProof/>
        </w:rPr>
        <w:t>1</w:t>
      </w:r>
      <w:r w:rsidR="009E16FD">
        <w:fldChar w:fldCharType="end"/>
      </w:r>
      <w:r w:rsidR="00580035">
        <w:t>. R</w:t>
      </w:r>
      <w:r w:rsidR="00674D9B">
        <w:t>esponse</w:t>
      </w:r>
      <w:r w:rsidR="00580035">
        <w:t>s</w:t>
      </w:r>
      <w:r w:rsidR="00674D9B">
        <w:t xml:space="preserve"> to comments received during the public comment period </w:t>
      </w:r>
      <w:r w:rsidR="00580035">
        <w:t xml:space="preserve">are </w:t>
      </w:r>
      <w:r w:rsidR="00674D9B">
        <w:t xml:space="preserve">provided in </w:t>
      </w:r>
      <w:r w:rsidR="00115949">
        <w:rPr>
          <w:highlight w:val="yellow"/>
        </w:rPr>
        <w:fldChar w:fldCharType="begin"/>
      </w:r>
      <w:r w:rsidR="00115949">
        <w:instrText xml:space="preserve"> REF _Ref114066698 \h </w:instrText>
      </w:r>
      <w:r w:rsidR="00115949">
        <w:rPr>
          <w:highlight w:val="yellow"/>
        </w:rPr>
      </w:r>
      <w:r w:rsidR="00115949">
        <w:rPr>
          <w:highlight w:val="yellow"/>
        </w:rPr>
        <w:fldChar w:fldCharType="separate"/>
      </w:r>
      <w:r w:rsidR="009E107A">
        <w:t xml:space="preserve">Table </w:t>
      </w:r>
      <w:r w:rsidR="009E107A">
        <w:rPr>
          <w:noProof/>
        </w:rPr>
        <w:t>2</w:t>
      </w:r>
      <w:r w:rsidR="009E107A">
        <w:noBreakHyphen/>
      </w:r>
      <w:r w:rsidR="009E107A">
        <w:rPr>
          <w:noProof/>
        </w:rPr>
        <w:t>2</w:t>
      </w:r>
      <w:r w:rsidR="00115949">
        <w:rPr>
          <w:highlight w:val="yellow"/>
        </w:rPr>
        <w:fldChar w:fldCharType="end"/>
      </w:r>
      <w:r w:rsidR="00115949">
        <w:t>.</w:t>
      </w:r>
    </w:p>
    <w:p w14:paraId="33DB1054" w14:textId="2505BF80" w:rsidR="00841328" w:rsidRDefault="00841328" w:rsidP="00835138">
      <w:pPr>
        <w:pStyle w:val="Caption"/>
      </w:pPr>
      <w:bookmarkStart w:id="13" w:name="_Ref114065628"/>
      <w:bookmarkStart w:id="14" w:name="_Toc142894153"/>
      <w:r>
        <w:t xml:space="preserve">Table </w:t>
      </w:r>
      <w:r w:rsidR="0011383F">
        <w:fldChar w:fldCharType="begin"/>
      </w:r>
      <w:r w:rsidR="0011383F">
        <w:instrText xml:space="preserve"> STYLEREF 1 \s </w:instrText>
      </w:r>
      <w:r w:rsidR="0011383F">
        <w:fldChar w:fldCharType="separate"/>
      </w:r>
      <w:r w:rsidR="009E16FD">
        <w:rPr>
          <w:noProof/>
        </w:rPr>
        <w:t>2</w:t>
      </w:r>
      <w:r w:rsidR="0011383F">
        <w:rPr>
          <w:noProof/>
        </w:rPr>
        <w:fldChar w:fldCharType="end"/>
      </w:r>
      <w:r w:rsidR="009D2355">
        <w:noBreakHyphen/>
      </w:r>
      <w:r w:rsidR="0011383F">
        <w:fldChar w:fldCharType="begin"/>
      </w:r>
      <w:r w:rsidR="0011383F">
        <w:instrText xml:space="preserve"> SEQ Table \* ARABIC \s 1 </w:instrText>
      </w:r>
      <w:r w:rsidR="0011383F">
        <w:fldChar w:fldCharType="separate"/>
      </w:r>
      <w:r w:rsidR="009E16FD">
        <w:rPr>
          <w:noProof/>
        </w:rPr>
        <w:t>1</w:t>
      </w:r>
      <w:r w:rsidR="0011383F">
        <w:rPr>
          <w:noProof/>
        </w:rPr>
        <w:fldChar w:fldCharType="end"/>
      </w:r>
      <w:bookmarkEnd w:id="13"/>
      <w:r>
        <w:t xml:space="preserve">: </w:t>
      </w:r>
      <w:r w:rsidR="00D27AE7">
        <w:t>C</w:t>
      </w:r>
      <w:r w:rsidR="004C627C">
        <w:t xml:space="preserve">ommon </w:t>
      </w:r>
      <w:r w:rsidR="00602016">
        <w:t>t</w:t>
      </w:r>
      <w:r>
        <w:t>hemes</w:t>
      </w:r>
      <w:bookmarkEnd w:id="14"/>
      <w:r w:rsidR="002E5397">
        <w:t xml:space="preserve"> </w:t>
      </w:r>
    </w:p>
    <w:tbl>
      <w:tblPr>
        <w:tblStyle w:val="INPEXtable"/>
        <w:tblW w:w="0" w:type="auto"/>
        <w:tblLook w:val="04A0" w:firstRow="1" w:lastRow="0" w:firstColumn="1" w:lastColumn="0" w:noHBand="0" w:noVBand="1"/>
      </w:tblPr>
      <w:tblGrid>
        <w:gridCol w:w="9062"/>
      </w:tblGrid>
      <w:tr w:rsidR="00841328" w14:paraId="6100D33E" w14:textId="77777777" w:rsidTr="008413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Pr>
          <w:p w14:paraId="505ED43C" w14:textId="6890565B" w:rsidR="00841328" w:rsidRDefault="00D27AE7" w:rsidP="00C0062D">
            <w:pPr>
              <w:pStyle w:val="Tabletext9"/>
            </w:pPr>
            <w:r>
              <w:t xml:space="preserve">Common </w:t>
            </w:r>
            <w:r w:rsidR="00CA5D10">
              <w:t>themes</w:t>
            </w:r>
          </w:p>
        </w:tc>
      </w:tr>
      <w:tr w:rsidR="00D27AE7" w14:paraId="63E26CAC" w14:textId="77777777" w:rsidTr="00841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48455F6" w14:textId="6F633EEC" w:rsidR="00D27AE7" w:rsidRDefault="00D27AE7" w:rsidP="00C0062D">
            <w:pPr>
              <w:pStyle w:val="Tabletext9"/>
            </w:pPr>
            <w:r>
              <w:t>Greenhouse gas</w:t>
            </w:r>
            <w:r w:rsidR="003361DD">
              <w:t xml:space="preserve"> (GHG)</w:t>
            </w:r>
            <w:r>
              <w:t xml:space="preserve"> emissions</w:t>
            </w:r>
            <w:r w:rsidR="00CA5D10">
              <w:t xml:space="preserve"> management</w:t>
            </w:r>
          </w:p>
        </w:tc>
      </w:tr>
      <w:tr w:rsidR="00841328" w14:paraId="70770319" w14:textId="77777777" w:rsidTr="008413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7B4DC5E" w14:textId="74BE04BB" w:rsidR="00841328" w:rsidRDefault="006353EB" w:rsidP="00C0062D">
            <w:pPr>
              <w:pStyle w:val="Tabletext9"/>
            </w:pPr>
            <w:r>
              <w:t>Cumulative and additive</w:t>
            </w:r>
            <w:r w:rsidR="00841328">
              <w:t xml:space="preserve"> impacts </w:t>
            </w:r>
            <w:r>
              <w:t xml:space="preserve">from </w:t>
            </w:r>
            <w:r w:rsidR="00782E13">
              <w:t>liquid discharges associated with drilling</w:t>
            </w:r>
          </w:p>
        </w:tc>
      </w:tr>
      <w:tr w:rsidR="00841328" w14:paraId="1A11B646" w14:textId="77777777" w:rsidTr="00841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2628EEC" w14:textId="1532F969" w:rsidR="00841328" w:rsidRDefault="00AE4504" w:rsidP="00C0062D">
            <w:pPr>
              <w:pStyle w:val="Tabletext9"/>
            </w:pPr>
            <w:r>
              <w:t>Consideration of additional/alternative management controls</w:t>
            </w:r>
            <w:r w:rsidR="00832119">
              <w:t xml:space="preserve"> to reduce impacts</w:t>
            </w:r>
          </w:p>
        </w:tc>
      </w:tr>
      <w:tr w:rsidR="00841328" w14:paraId="51EADA64" w14:textId="77777777" w:rsidTr="008413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0BEC727" w14:textId="33D3C823" w:rsidR="00841328" w:rsidRDefault="007B7923" w:rsidP="00C0062D">
            <w:pPr>
              <w:pStyle w:val="Tabletext9"/>
            </w:pPr>
            <w:r>
              <w:t>Impacts to the marine environment and marine protected areas</w:t>
            </w:r>
          </w:p>
        </w:tc>
      </w:tr>
      <w:tr w:rsidR="00841328" w14:paraId="6F8A93F5" w14:textId="77777777" w:rsidTr="00841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9C90326" w14:textId="31CF17D1" w:rsidR="00841328" w:rsidRDefault="00841328" w:rsidP="00C0062D">
            <w:pPr>
              <w:pStyle w:val="Tabletext9"/>
            </w:pPr>
            <w:r>
              <w:t xml:space="preserve">Consultation </w:t>
            </w:r>
            <w:r w:rsidR="00111502">
              <w:t>process and identification of relevant persons</w:t>
            </w:r>
          </w:p>
        </w:tc>
      </w:tr>
      <w:tr w:rsidR="004C627C" w14:paraId="6B911966" w14:textId="77777777" w:rsidTr="008413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4D50798" w14:textId="43CE1259" w:rsidR="004C627C" w:rsidRPr="00D55273" w:rsidRDefault="00D55273" w:rsidP="00C0062D">
            <w:pPr>
              <w:pStyle w:val="Tabletext9"/>
            </w:pPr>
            <w:r w:rsidRPr="00D55273">
              <w:t>Risks posed during emergency conditions (hydrocarbon spill)</w:t>
            </w:r>
          </w:p>
        </w:tc>
      </w:tr>
      <w:tr w:rsidR="00EA20B5" w14:paraId="25F3FED2" w14:textId="77777777" w:rsidTr="00841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9643FE5" w14:textId="7B1F5627" w:rsidR="00EA20B5" w:rsidRPr="00D55273" w:rsidRDefault="00EA20B5" w:rsidP="00C0062D">
            <w:pPr>
              <w:pStyle w:val="Tabletext9"/>
            </w:pPr>
            <w:r>
              <w:t>CCS is an unproven technology</w:t>
            </w:r>
          </w:p>
        </w:tc>
      </w:tr>
    </w:tbl>
    <w:p w14:paraId="6FF43016" w14:textId="02B78140" w:rsidR="00692697" w:rsidRDefault="004C5A08" w:rsidP="00835138">
      <w:pPr>
        <w:pStyle w:val="Caption"/>
      </w:pPr>
      <w:bookmarkStart w:id="15" w:name="_Ref114125454"/>
      <w:r>
        <w:rPr>
          <w:noProof/>
        </w:rPr>
        <w:drawing>
          <wp:inline distT="0" distB="0" distL="0" distR="0" wp14:anchorId="54E61777" wp14:editId="5A593D57">
            <wp:extent cx="5529532" cy="3890514"/>
            <wp:effectExtent l="0" t="0" r="14605" b="15240"/>
            <wp:docPr id="1" name="Chart 1">
              <a:extLst xmlns:a="http://schemas.openxmlformats.org/drawingml/2006/main">
                <a:ext uri="{FF2B5EF4-FFF2-40B4-BE49-F238E27FC236}">
                  <a16:creationId xmlns:a16="http://schemas.microsoft.com/office/drawing/2014/main" id="{03EF3818-9AA6-4F77-B482-6B9A6CDA0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20D80A" w14:textId="10FBC01C" w:rsidR="00CB3112" w:rsidRDefault="008C5D10" w:rsidP="008C5D10">
      <w:pPr>
        <w:pStyle w:val="Caption"/>
      </w:pPr>
      <w:bookmarkStart w:id="16" w:name="_Ref118988000"/>
      <w:bookmarkStart w:id="17" w:name="_Toc142894157"/>
      <w:bookmarkEnd w:id="15"/>
      <w:r>
        <w:t xml:space="preserve">Figure </w:t>
      </w:r>
      <w:r w:rsidR="0011383F">
        <w:fldChar w:fldCharType="begin"/>
      </w:r>
      <w:r w:rsidR="0011383F">
        <w:instrText xml:space="preserve"> STYLEREF 1 \s </w:instrText>
      </w:r>
      <w:r w:rsidR="0011383F">
        <w:fldChar w:fldCharType="separate"/>
      </w:r>
      <w:r w:rsidR="009E16FD">
        <w:rPr>
          <w:noProof/>
        </w:rPr>
        <w:t>2</w:t>
      </w:r>
      <w:r w:rsidR="0011383F">
        <w:rPr>
          <w:noProof/>
        </w:rPr>
        <w:fldChar w:fldCharType="end"/>
      </w:r>
      <w:r>
        <w:noBreakHyphen/>
      </w:r>
      <w:r w:rsidR="0011383F">
        <w:fldChar w:fldCharType="begin"/>
      </w:r>
      <w:r w:rsidR="0011383F">
        <w:instrText xml:space="preserve"> SEQ Figure \* ARABIC \s 1 </w:instrText>
      </w:r>
      <w:r w:rsidR="0011383F">
        <w:fldChar w:fldCharType="separate"/>
      </w:r>
      <w:r w:rsidR="009E16FD">
        <w:rPr>
          <w:noProof/>
        </w:rPr>
        <w:t>1</w:t>
      </w:r>
      <w:r w:rsidR="0011383F">
        <w:rPr>
          <w:noProof/>
        </w:rPr>
        <w:fldChar w:fldCharType="end"/>
      </w:r>
      <w:bookmarkEnd w:id="16"/>
      <w:r>
        <w:t xml:space="preserve">: </w:t>
      </w:r>
      <w:r w:rsidR="00127A88">
        <w:t>Bonaparte Basin Exploration Drilling EP public comment</w:t>
      </w:r>
      <w:r w:rsidR="008D5BDD">
        <w:t xml:space="preserve">s </w:t>
      </w:r>
      <w:r w:rsidR="009E6D7B">
        <w:t>by</w:t>
      </w:r>
      <w:r w:rsidR="00072EF2">
        <w:t xml:space="preserve"> theme</w:t>
      </w:r>
      <w:bookmarkEnd w:id="17"/>
    </w:p>
    <w:p w14:paraId="148ECFF8" w14:textId="77777777" w:rsidR="00E364C1" w:rsidRDefault="00E364C1" w:rsidP="00841328">
      <w:pPr>
        <w:pStyle w:val="BodyText"/>
      </w:pPr>
    </w:p>
    <w:p w14:paraId="200889E5" w14:textId="68E2ABEB" w:rsidR="00BD5F82" w:rsidRDefault="00BD5F82" w:rsidP="000D45C1">
      <w:pPr>
        <w:pStyle w:val="BodyText"/>
        <w:sectPr w:rsidR="00BD5F82" w:rsidSect="00897A18">
          <w:headerReference w:type="even" r:id="rId22"/>
          <w:headerReference w:type="first" r:id="rId23"/>
          <w:footnotePr>
            <w:pos w:val="beneathText"/>
          </w:footnotePr>
          <w:pgSz w:w="11906" w:h="16838" w:code="9"/>
          <w:pgMar w:top="1134" w:right="1133" w:bottom="1701" w:left="1701" w:header="1134" w:footer="476" w:gutter="0"/>
          <w:cols w:space="708"/>
          <w:docGrid w:linePitch="360"/>
        </w:sectPr>
      </w:pPr>
    </w:p>
    <w:p w14:paraId="0D9CEBAF" w14:textId="7555C483" w:rsidR="000D45C1" w:rsidRDefault="009D2355" w:rsidP="00835138">
      <w:pPr>
        <w:pStyle w:val="Caption"/>
      </w:pPr>
      <w:bookmarkStart w:id="18" w:name="_Ref114066698"/>
      <w:bookmarkStart w:id="19" w:name="_Toc142894154"/>
      <w:r>
        <w:lastRenderedPageBreak/>
        <w:t xml:space="preserve">Table </w:t>
      </w:r>
      <w:r w:rsidR="0011383F">
        <w:fldChar w:fldCharType="begin"/>
      </w:r>
      <w:r w:rsidR="0011383F">
        <w:instrText xml:space="preserve"> STYLEREF 1 \s</w:instrText>
      </w:r>
      <w:r w:rsidR="0011383F">
        <w:instrText xml:space="preserve"> </w:instrText>
      </w:r>
      <w:r w:rsidR="0011383F">
        <w:fldChar w:fldCharType="separate"/>
      </w:r>
      <w:r w:rsidR="009E107A">
        <w:rPr>
          <w:noProof/>
        </w:rPr>
        <w:t>2</w:t>
      </w:r>
      <w:r w:rsidR="0011383F">
        <w:rPr>
          <w:noProof/>
        </w:rPr>
        <w:fldChar w:fldCharType="end"/>
      </w:r>
      <w:r>
        <w:noBreakHyphen/>
      </w:r>
      <w:r w:rsidR="0011383F">
        <w:fldChar w:fldCharType="begin"/>
      </w:r>
      <w:r w:rsidR="0011383F">
        <w:instrText xml:space="preserve"> SEQ Table \* ARABIC \s 1 </w:instrText>
      </w:r>
      <w:r w:rsidR="0011383F">
        <w:fldChar w:fldCharType="separate"/>
      </w:r>
      <w:r w:rsidR="009E107A">
        <w:rPr>
          <w:noProof/>
        </w:rPr>
        <w:t>2</w:t>
      </w:r>
      <w:r w:rsidR="0011383F">
        <w:rPr>
          <w:noProof/>
        </w:rPr>
        <w:fldChar w:fldCharType="end"/>
      </w:r>
      <w:bookmarkEnd w:id="18"/>
      <w:r>
        <w:t xml:space="preserve">: </w:t>
      </w:r>
      <w:r w:rsidR="00115949">
        <w:t>Titleholder response to public comments</w:t>
      </w:r>
      <w:bookmarkEnd w:id="19"/>
    </w:p>
    <w:tbl>
      <w:tblPr>
        <w:tblStyle w:val="INPEXtable"/>
        <w:tblW w:w="0" w:type="auto"/>
        <w:tblLook w:val="04A0" w:firstRow="1" w:lastRow="0" w:firstColumn="1" w:lastColumn="0" w:noHBand="0" w:noVBand="1"/>
      </w:tblPr>
      <w:tblGrid>
        <w:gridCol w:w="547"/>
        <w:gridCol w:w="5685"/>
        <w:gridCol w:w="7761"/>
      </w:tblGrid>
      <w:tr w:rsidR="001D5730" w14:paraId="0CCDF7EB" w14:textId="77777777" w:rsidTr="70F9F1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7" w:type="dxa"/>
          </w:tcPr>
          <w:p w14:paraId="5FC09C17" w14:textId="6E733ED1" w:rsidR="001D5730" w:rsidRDefault="001D5730" w:rsidP="001D5730">
            <w:pPr>
              <w:pStyle w:val="Tabletext9"/>
            </w:pPr>
            <w:r>
              <w:t>#</w:t>
            </w:r>
          </w:p>
        </w:tc>
        <w:tc>
          <w:tcPr>
            <w:tcW w:w="5685" w:type="dxa"/>
          </w:tcPr>
          <w:p w14:paraId="7B31035B" w14:textId="356B4432" w:rsidR="001D5730" w:rsidRDefault="001D5730" w:rsidP="001D5730">
            <w:pPr>
              <w:pStyle w:val="Tabletext9"/>
              <w:cnfStyle w:val="100000000000" w:firstRow="1" w:lastRow="0" w:firstColumn="0" w:lastColumn="0" w:oddVBand="0" w:evenVBand="0" w:oddHBand="0" w:evenHBand="0" w:firstRowFirstColumn="0" w:firstRowLastColumn="0" w:lastRowFirstColumn="0" w:lastRowLastColumn="0"/>
            </w:pPr>
            <w:r>
              <w:t>Comments received (in general terms)</w:t>
            </w:r>
          </w:p>
        </w:tc>
        <w:tc>
          <w:tcPr>
            <w:tcW w:w="7761" w:type="dxa"/>
          </w:tcPr>
          <w:p w14:paraId="225AB492" w14:textId="6688FF31" w:rsidR="001D5730" w:rsidRDefault="001D5730" w:rsidP="001D5730">
            <w:pPr>
              <w:pStyle w:val="Tabletext9"/>
              <w:cnfStyle w:val="100000000000" w:firstRow="1" w:lastRow="0" w:firstColumn="0" w:lastColumn="0" w:oddVBand="0" w:evenVBand="0" w:oddHBand="0" w:evenHBand="0" w:firstRowFirstColumn="0" w:firstRowLastColumn="0" w:lastRowFirstColumn="0" w:lastRowLastColumn="0"/>
            </w:pPr>
            <w:r>
              <w:t>Titleholder response</w:t>
            </w:r>
          </w:p>
        </w:tc>
      </w:tr>
      <w:tr w:rsidR="00C200D2" w14:paraId="3CBCFD51" w14:textId="77777777" w:rsidTr="70F9F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21F61FAE" w14:textId="394EE9F0" w:rsidR="00C200D2" w:rsidRDefault="00C200D2" w:rsidP="001D5730">
            <w:pPr>
              <w:pStyle w:val="Tabletext9"/>
            </w:pPr>
            <w:r>
              <w:t>1</w:t>
            </w:r>
          </w:p>
        </w:tc>
        <w:tc>
          <w:tcPr>
            <w:tcW w:w="5685" w:type="dxa"/>
          </w:tcPr>
          <w:p w14:paraId="03EE7F88" w14:textId="77777777" w:rsidR="004B43F5" w:rsidRPr="004B43F5" w:rsidRDefault="004B43F5" w:rsidP="001D5730">
            <w:pPr>
              <w:pStyle w:val="Tabletext9"/>
              <w:cnfStyle w:val="000000100000" w:firstRow="0" w:lastRow="0" w:firstColumn="0" w:lastColumn="0" w:oddVBand="0" w:evenVBand="0" w:oddHBand="1" w:evenHBand="0" w:firstRowFirstColumn="0" w:firstRowLastColumn="0" w:lastRowFirstColumn="0" w:lastRowLastColumn="0"/>
              <w:rPr>
                <w:b/>
                <w:bCs/>
              </w:rPr>
            </w:pPr>
            <w:r w:rsidRPr="004B43F5">
              <w:rPr>
                <w:b/>
                <w:bCs/>
              </w:rPr>
              <w:t>Matter:</w:t>
            </w:r>
          </w:p>
          <w:p w14:paraId="1067A0EF" w14:textId="77777777" w:rsidR="00C200D2" w:rsidRDefault="004B43F5" w:rsidP="001D5730">
            <w:pPr>
              <w:pStyle w:val="Tabletext9"/>
              <w:cnfStyle w:val="000000100000" w:firstRow="0" w:lastRow="0" w:firstColumn="0" w:lastColumn="0" w:oddVBand="0" w:evenVBand="0" w:oddHBand="1" w:evenHBand="0" w:firstRowFirstColumn="0" w:firstRowLastColumn="0" w:lastRowFirstColumn="0" w:lastRowLastColumn="0"/>
            </w:pPr>
            <w:r>
              <w:t>GHG</w:t>
            </w:r>
            <w:r w:rsidR="00C200D2">
              <w:t xml:space="preserve"> emissio</w:t>
            </w:r>
            <w:r w:rsidR="009579FE">
              <w:t>ns – unacceptable impacts and/or management</w:t>
            </w:r>
          </w:p>
          <w:p w14:paraId="25B78641" w14:textId="002B0407" w:rsidR="005F6C18" w:rsidRPr="005F6C18" w:rsidRDefault="005F6C18" w:rsidP="001D5730">
            <w:pPr>
              <w:pStyle w:val="Tabletext9"/>
              <w:cnfStyle w:val="000000100000" w:firstRow="0" w:lastRow="0" w:firstColumn="0" w:lastColumn="0" w:oddVBand="0" w:evenVBand="0" w:oddHBand="1" w:evenHBand="0" w:firstRowFirstColumn="0" w:firstRowLastColumn="0" w:lastRowFirstColumn="0" w:lastRowLastColumn="0"/>
              <w:rPr>
                <w:b/>
                <w:bCs/>
              </w:rPr>
            </w:pPr>
            <w:r w:rsidRPr="005F6C18">
              <w:rPr>
                <w:b/>
                <w:bCs/>
              </w:rPr>
              <w:t>Claim</w:t>
            </w:r>
            <w:r w:rsidR="0065185D">
              <w:rPr>
                <w:b/>
                <w:bCs/>
              </w:rPr>
              <w:t>s</w:t>
            </w:r>
            <w:r w:rsidRPr="005F6C18">
              <w:rPr>
                <w:b/>
                <w:bCs/>
              </w:rPr>
              <w:t>:</w:t>
            </w:r>
          </w:p>
          <w:p w14:paraId="40AA6696" w14:textId="09EB5243" w:rsidR="005F6C18" w:rsidRPr="00E80EB4" w:rsidRDefault="00D556D1" w:rsidP="0065185D">
            <w:pPr>
              <w:pStyle w:val="Tabletext9"/>
              <w:numPr>
                <w:ilvl w:val="0"/>
                <w:numId w:val="25"/>
              </w:numPr>
              <w:cnfStyle w:val="000000100000" w:firstRow="0" w:lastRow="0" w:firstColumn="0" w:lastColumn="0" w:oddVBand="0" w:evenVBand="0" w:oddHBand="1" w:evenHBand="0" w:firstRowFirstColumn="0" w:firstRowLastColumn="0" w:lastRowFirstColumn="0" w:lastRowLastColumn="0"/>
            </w:pPr>
            <w:r w:rsidRPr="00E80EB4">
              <w:t xml:space="preserve">ALARP assessment of voluntary offsets as a mitigation strategy for emissions generated during exploration drilling activities, is not </w:t>
            </w:r>
            <w:proofErr w:type="spellStart"/>
            <w:r w:rsidRPr="00E80EB4">
              <w:t>inline</w:t>
            </w:r>
            <w:proofErr w:type="spellEnd"/>
            <w:r w:rsidRPr="00E80EB4">
              <w:t xml:space="preserve"> with transitioning to a zero-carbon economy in the Northern Territory.</w:t>
            </w:r>
          </w:p>
          <w:p w14:paraId="7836FCB6" w14:textId="71C08536" w:rsidR="00B21035" w:rsidRPr="00325CBA" w:rsidRDefault="00B21035" w:rsidP="0065185D">
            <w:pPr>
              <w:pStyle w:val="Tabletext9"/>
              <w:numPr>
                <w:ilvl w:val="0"/>
                <w:numId w:val="25"/>
              </w:numPr>
              <w:cnfStyle w:val="000000100000" w:firstRow="0" w:lastRow="0" w:firstColumn="0" w:lastColumn="0" w:oddVBand="0" w:evenVBand="0" w:oddHBand="1" w:evenHBand="0" w:firstRowFirstColumn="0" w:firstRowLastColumn="0" w:lastRowFirstColumn="0" w:lastRowLastColumn="0"/>
            </w:pPr>
            <w:r w:rsidRPr="00325CBA">
              <w:t xml:space="preserve">The activities are of short duration, nevertheless, the direct greenhouse gas </w:t>
            </w:r>
            <w:r w:rsidR="009A273C">
              <w:t xml:space="preserve">(GHG) </w:t>
            </w:r>
            <w:r w:rsidRPr="00325CBA">
              <w:t>emissions for the Proposals are significant at 58,070 t-CO2-e.</w:t>
            </w:r>
          </w:p>
          <w:p w14:paraId="57DC37A0" w14:textId="04C87482" w:rsidR="00F60D22" w:rsidRPr="00B224A4" w:rsidRDefault="00F60D22" w:rsidP="0065185D">
            <w:pPr>
              <w:pStyle w:val="Tabletext9"/>
              <w:numPr>
                <w:ilvl w:val="0"/>
                <w:numId w:val="25"/>
              </w:numPr>
              <w:cnfStyle w:val="000000100000" w:firstRow="0" w:lastRow="0" w:firstColumn="0" w:lastColumn="0" w:oddVBand="0" w:evenVBand="0" w:oddHBand="1" w:evenHBand="0" w:firstRowFirstColumn="0" w:firstRowLastColumn="0" w:lastRowFirstColumn="0" w:lastRowLastColumn="0"/>
            </w:pPr>
            <w:r w:rsidRPr="00B224A4">
              <w:t>EP does not adequately consider the cumulative impacts of its GHG</w:t>
            </w:r>
            <w:r w:rsidR="009A273C">
              <w:t xml:space="preserve"> </w:t>
            </w:r>
            <w:r w:rsidRPr="00B224A4">
              <w:t>e</w:t>
            </w:r>
            <w:r w:rsidR="009A273C">
              <w:t>missions</w:t>
            </w:r>
            <w:r w:rsidRPr="00B224A4">
              <w:t xml:space="preserve"> alongside other offshore petroleum industry activities, whereby the release of GHG</w:t>
            </w:r>
            <w:r w:rsidR="009A273C">
              <w:t xml:space="preserve"> </w:t>
            </w:r>
            <w:r w:rsidRPr="00B224A4">
              <w:t>e</w:t>
            </w:r>
            <w:r w:rsidR="009A273C">
              <w:t>mission</w:t>
            </w:r>
            <w:r w:rsidR="00DD1360">
              <w:t>s</w:t>
            </w:r>
            <w:r w:rsidRPr="00B224A4">
              <w:t xml:space="preserve"> from the </w:t>
            </w:r>
            <w:r w:rsidR="00561091" w:rsidRPr="00B224A4">
              <w:t>EP activity</w:t>
            </w:r>
            <w:r w:rsidRPr="00B224A4">
              <w:t xml:space="preserve"> will add to local and global GHG concentrations and will, therefore, influence climate change.</w:t>
            </w:r>
          </w:p>
          <w:p w14:paraId="7A2A1AB1" w14:textId="66010E76" w:rsidR="00EA25EB" w:rsidRPr="005F6C18" w:rsidRDefault="00EA25EB" w:rsidP="001D5730">
            <w:pPr>
              <w:pStyle w:val="Tabletext9"/>
              <w:cnfStyle w:val="000000100000" w:firstRow="0" w:lastRow="0" w:firstColumn="0" w:lastColumn="0" w:oddVBand="0" w:evenVBand="0" w:oddHBand="1" w:evenHBand="0" w:firstRowFirstColumn="0" w:firstRowLastColumn="0" w:lastRowFirstColumn="0" w:lastRowLastColumn="0"/>
              <w:rPr>
                <w:color w:val="FF0000"/>
              </w:rPr>
            </w:pPr>
            <w:r w:rsidRPr="00BD02B6">
              <w:t xml:space="preserve">Note: </w:t>
            </w:r>
            <w:r w:rsidR="002F4044">
              <w:t>T</w:t>
            </w:r>
            <w:r w:rsidR="00F92140" w:rsidRPr="00BD02B6">
              <w:t>hree comments</w:t>
            </w:r>
            <w:r w:rsidR="00BD02B6" w:rsidRPr="00BD02B6">
              <w:t xml:space="preserve"> were made in relation to this matter</w:t>
            </w:r>
            <w:r w:rsidR="00961150">
              <w:t>.</w:t>
            </w:r>
            <w:r w:rsidRPr="00BD02B6">
              <w:t xml:space="preserve"> </w:t>
            </w:r>
          </w:p>
        </w:tc>
        <w:tc>
          <w:tcPr>
            <w:tcW w:w="7761" w:type="dxa"/>
          </w:tcPr>
          <w:p w14:paraId="5954075E" w14:textId="77777777" w:rsidR="007F0EE3" w:rsidRDefault="00E74DD7" w:rsidP="00E74DD7">
            <w:pPr>
              <w:pStyle w:val="Tabletext9"/>
              <w:cnfStyle w:val="000000100000" w:firstRow="0" w:lastRow="0" w:firstColumn="0" w:lastColumn="0" w:oddVBand="0" w:evenVBand="0" w:oddHBand="1" w:evenHBand="0" w:firstRowFirstColumn="0" w:firstRowLastColumn="0" w:lastRowFirstColumn="0" w:lastRowLastColumn="0"/>
            </w:pPr>
            <w:r w:rsidRPr="00E76D7F">
              <w:t>Climate change, and appropriate action with regard to long-term decarbonisation, is a key global challenge. INPEX recognises that a global response to climate change requires action by all members of the international community, governments, businesses and civil society.</w:t>
            </w:r>
          </w:p>
          <w:p w14:paraId="4661A2A4" w14:textId="421F3537" w:rsidR="00E74DD7" w:rsidRPr="00E76D7F" w:rsidRDefault="007F0EE3" w:rsidP="00E74DD7">
            <w:pPr>
              <w:pStyle w:val="Tabletext9"/>
              <w:cnfStyle w:val="000000100000" w:firstRow="0" w:lastRow="0" w:firstColumn="0" w:lastColumn="0" w:oddVBand="0" w:evenVBand="0" w:oddHBand="1" w:evenHBand="0" w:firstRowFirstColumn="0" w:firstRowLastColumn="0" w:lastRowFirstColumn="0" w:lastRowLastColumn="0"/>
            </w:pPr>
            <w:r w:rsidRPr="00695ABE">
              <w:t xml:space="preserve">The Paris Agreement provides the international context </w:t>
            </w:r>
            <w:r w:rsidR="00F5430F">
              <w:t>for</w:t>
            </w:r>
            <w:r w:rsidRPr="00695ABE">
              <w:t xml:space="preserve"> Australia’s N</w:t>
            </w:r>
            <w:r w:rsidR="0010674F">
              <w:t xml:space="preserve">ationally determined contribution </w:t>
            </w:r>
            <w:r>
              <w:t xml:space="preserve">and now legislated targets of a reduction of </w:t>
            </w:r>
            <w:r w:rsidRPr="00695ABE">
              <w:t>43% below</w:t>
            </w:r>
            <w:r>
              <w:t xml:space="preserve"> </w:t>
            </w:r>
            <w:r w:rsidRPr="00695ABE">
              <w:t>2005 levels by 2030 and net zero emissions by 2050.</w:t>
            </w:r>
            <w:r>
              <w:t xml:space="preserve"> </w:t>
            </w:r>
            <w:r w:rsidRPr="00E76D7F">
              <w:t>INPEX</w:t>
            </w:r>
            <w:r>
              <w:t xml:space="preserve"> Corporation recognises these targets and</w:t>
            </w:r>
            <w:r w:rsidR="00E74DD7" w:rsidRPr="00E76D7F">
              <w:t xml:space="preserve"> is committed to fulfilling its role in addressing climate change as a responsible member of the </w:t>
            </w:r>
            <w:r w:rsidR="00F15B75">
              <w:t>energy</w:t>
            </w:r>
            <w:r w:rsidR="00E74DD7" w:rsidRPr="00E76D7F">
              <w:t xml:space="preserve"> industry.</w:t>
            </w:r>
          </w:p>
          <w:p w14:paraId="2AA9428C" w14:textId="77777777" w:rsidR="00E74DD7" w:rsidRPr="00E76D7F" w:rsidRDefault="00E74DD7" w:rsidP="00E74DD7">
            <w:pPr>
              <w:pStyle w:val="Tabletext9"/>
              <w:cnfStyle w:val="000000100000" w:firstRow="0" w:lastRow="0" w:firstColumn="0" w:lastColumn="0" w:oddVBand="0" w:evenVBand="0" w:oddHBand="1" w:evenHBand="0" w:firstRowFirstColumn="0" w:firstRowLastColumn="0" w:lastRowFirstColumn="0" w:lastRowLastColumn="0"/>
            </w:pPr>
            <w:r w:rsidRPr="00E76D7F">
              <w:t xml:space="preserve">INPEX Corporation has an ongoing program to assess climate change risk as part of strategic efforts to respond to climate change. </w:t>
            </w:r>
          </w:p>
          <w:p w14:paraId="3A6ACDF3" w14:textId="42494E8E" w:rsidR="00E74DD7" w:rsidRPr="00E76D7F" w:rsidRDefault="00E74DD7" w:rsidP="00E74DD7">
            <w:pPr>
              <w:pStyle w:val="Tabletext9"/>
              <w:cnfStyle w:val="000000100000" w:firstRow="0" w:lastRow="0" w:firstColumn="0" w:lastColumn="0" w:oddVBand="0" w:evenVBand="0" w:oddHBand="1" w:evenHBand="0" w:firstRowFirstColumn="0" w:firstRowLastColumn="0" w:lastRowFirstColumn="0" w:lastRowLastColumn="0"/>
            </w:pPr>
            <w:r w:rsidRPr="00E76D7F">
              <w:t>INPEX Corporation</w:t>
            </w:r>
            <w:r w:rsidR="004C1D36">
              <w:t>’s Climate Change goals</w:t>
            </w:r>
            <w:r w:rsidRPr="00E76D7F">
              <w:t xml:space="preserve"> are:</w:t>
            </w:r>
          </w:p>
          <w:p w14:paraId="2E6BBBFE" w14:textId="1D15EABA" w:rsidR="00E74DD7" w:rsidRPr="00E76D7F" w:rsidRDefault="00E74DD7" w:rsidP="00965FC8">
            <w:pPr>
              <w:pStyle w:val="Tabletext9"/>
              <w:numPr>
                <w:ilvl w:val="0"/>
                <w:numId w:val="24"/>
              </w:numPr>
              <w:cnfStyle w:val="000000100000" w:firstRow="0" w:lastRow="0" w:firstColumn="0" w:lastColumn="0" w:oddVBand="0" w:evenVBand="0" w:oddHBand="1" w:evenHBand="0" w:firstRowFirstColumn="0" w:firstRowLastColumn="0" w:lastRowFirstColumn="0" w:lastRowLastColumn="0"/>
            </w:pPr>
            <w:r w:rsidRPr="00E76D7F">
              <w:t>30% (or greater) reduction in Scope 1 and 2 emissions intensity by 2030 – compared to 2019 intensity</w:t>
            </w:r>
          </w:p>
          <w:p w14:paraId="7617DB82" w14:textId="115773AF" w:rsidR="00E74DD7" w:rsidRPr="00E76D7F" w:rsidRDefault="00E74DD7" w:rsidP="00965FC8">
            <w:pPr>
              <w:pStyle w:val="Tabletext9"/>
              <w:numPr>
                <w:ilvl w:val="0"/>
                <w:numId w:val="24"/>
              </w:numPr>
              <w:cnfStyle w:val="000000100000" w:firstRow="0" w:lastRow="0" w:firstColumn="0" w:lastColumn="0" w:oddVBand="0" w:evenVBand="0" w:oddHBand="1" w:evenHBand="0" w:firstRowFirstColumn="0" w:firstRowLastColumn="0" w:lastRowFirstColumn="0" w:lastRowLastColumn="0"/>
            </w:pPr>
            <w:r w:rsidRPr="00E76D7F">
              <w:t xml:space="preserve">achieve net zero </w:t>
            </w:r>
            <w:r w:rsidR="001160A5">
              <w:t xml:space="preserve">(Scope 1 and Scope 2) </w:t>
            </w:r>
            <w:r w:rsidRPr="00E76D7F">
              <w:t xml:space="preserve">emissions on an absolute basis for INPEX Corporation’s </w:t>
            </w:r>
            <w:r w:rsidR="00AD5DD7" w:rsidRPr="00E76D7F">
              <w:t xml:space="preserve">emissions </w:t>
            </w:r>
            <w:r w:rsidR="00AD5DD7">
              <w:t xml:space="preserve">on an </w:t>
            </w:r>
            <w:r w:rsidRPr="00E76D7F">
              <w:t xml:space="preserve">equity share </w:t>
            </w:r>
            <w:r w:rsidR="00AD5DD7">
              <w:t xml:space="preserve">basis </w:t>
            </w:r>
            <w:r w:rsidRPr="00E76D7F">
              <w:t>by 2050</w:t>
            </w:r>
          </w:p>
          <w:p w14:paraId="0C4CFB12" w14:textId="4688BF5D" w:rsidR="00E74DD7" w:rsidRDefault="00E74DD7" w:rsidP="00965FC8">
            <w:pPr>
              <w:pStyle w:val="Tabletext9"/>
              <w:numPr>
                <w:ilvl w:val="0"/>
                <w:numId w:val="24"/>
              </w:numPr>
              <w:cnfStyle w:val="000000100000" w:firstRow="0" w:lastRow="0" w:firstColumn="0" w:lastColumn="0" w:oddVBand="0" w:evenVBand="0" w:oddHBand="1" w:evenHBand="0" w:firstRowFirstColumn="0" w:firstRowLastColumn="0" w:lastRowFirstColumn="0" w:lastRowLastColumn="0"/>
            </w:pPr>
            <w:r w:rsidRPr="00E76D7F">
              <w:t xml:space="preserve">work with stakeholders to reduce emissions across the company’s entire value chain. </w:t>
            </w:r>
          </w:p>
          <w:p w14:paraId="62096D0D" w14:textId="77777777" w:rsidR="0052758D" w:rsidRDefault="0052758D" w:rsidP="0052758D">
            <w:pPr>
              <w:pStyle w:val="Tabletext9"/>
              <w:cnfStyle w:val="000000100000" w:firstRow="0" w:lastRow="0" w:firstColumn="0" w:lastColumn="0" w:oddVBand="0" w:evenVBand="0" w:oddHBand="1" w:evenHBand="0" w:firstRowFirstColumn="0" w:firstRowLastColumn="0" w:lastRowFirstColumn="0" w:lastRowLastColumn="0"/>
            </w:pPr>
            <w:r>
              <w:t xml:space="preserve">The estimated emissions associated with the activities covered in the EP are </w:t>
            </w:r>
            <w:r w:rsidRPr="00A06BC1">
              <w:t>not from sources owned or controlled by INPEX, as such these emissions are by definition Scope 3 emissions for INPEX</w:t>
            </w:r>
            <w:r>
              <w:t>.</w:t>
            </w:r>
          </w:p>
          <w:p w14:paraId="68CBBBE1" w14:textId="5D01866B" w:rsidR="0052758D" w:rsidRDefault="00395DB9" w:rsidP="0052758D">
            <w:pPr>
              <w:pStyle w:val="Tabletext9"/>
              <w:cnfStyle w:val="000000100000" w:firstRow="0" w:lastRow="0" w:firstColumn="0" w:lastColumn="0" w:oddVBand="0" w:evenVBand="0" w:oddHBand="1" w:evenHBand="0" w:firstRowFirstColumn="0" w:firstRowLastColumn="0" w:lastRowFirstColumn="0" w:lastRowLastColumn="0"/>
            </w:pPr>
            <w:r>
              <w:t xml:space="preserve">In the absence of specific </w:t>
            </w:r>
            <w:r w:rsidR="0076341C">
              <w:t>legislative requirement</w:t>
            </w:r>
            <w:r w:rsidR="00C46D15">
              <w:t>s</w:t>
            </w:r>
            <w:r w:rsidR="0076341C">
              <w:t xml:space="preserve"> for the management of </w:t>
            </w:r>
            <w:r w:rsidR="00F85621">
              <w:t>S</w:t>
            </w:r>
            <w:r w:rsidR="0076341C">
              <w:t xml:space="preserve">cope 3 emissions, </w:t>
            </w:r>
            <w:r w:rsidR="0052758D">
              <w:t>INPEX’s strategy to address Scope 3 emissions is to work with its contractors to ensure that their emissions are appropriately managed.</w:t>
            </w:r>
          </w:p>
          <w:p w14:paraId="6AF3A2F8" w14:textId="77777777" w:rsidR="0052758D" w:rsidRDefault="0052758D" w:rsidP="0052758D">
            <w:pPr>
              <w:pStyle w:val="Tabletext9"/>
              <w:cnfStyle w:val="000000100000" w:firstRow="0" w:lastRow="0" w:firstColumn="0" w:lastColumn="0" w:oddVBand="0" w:evenVBand="0" w:oddHBand="1" w:evenHBand="0" w:firstRowFirstColumn="0" w:firstRowLastColumn="0" w:lastRowFirstColumn="0" w:lastRowLastColumn="0"/>
            </w:pPr>
            <w:r>
              <w:t>Assurance relating to the appropriate management of emissions is primarily achieved by:</w:t>
            </w:r>
          </w:p>
          <w:p w14:paraId="1FBFE414" w14:textId="66E860B3" w:rsidR="0052758D" w:rsidRDefault="0052758D" w:rsidP="0052758D">
            <w:pPr>
              <w:pStyle w:val="Tabletext9"/>
              <w:numPr>
                <w:ilvl w:val="0"/>
                <w:numId w:val="27"/>
              </w:numPr>
              <w:cnfStyle w:val="000000100000" w:firstRow="0" w:lastRow="0" w:firstColumn="0" w:lastColumn="0" w:oddVBand="0" w:evenVBand="0" w:oddHBand="1" w:evenHBand="0" w:firstRowFirstColumn="0" w:firstRowLastColumn="0" w:lastRowFirstColumn="0" w:lastRowLastColumn="0"/>
            </w:pPr>
            <w:r>
              <w:lastRenderedPageBreak/>
              <w:t>Confirming that contractors have appropriate maintenance regimes in place that serve to maximise efficiency of equipment and reduce fuel consumption and thereby reduce associated emissions</w:t>
            </w:r>
          </w:p>
          <w:p w14:paraId="1F9DA0F8" w14:textId="19805DCE" w:rsidR="0052758D" w:rsidRDefault="0052758D" w:rsidP="0052758D">
            <w:pPr>
              <w:pStyle w:val="Tabletext9"/>
              <w:numPr>
                <w:ilvl w:val="0"/>
                <w:numId w:val="27"/>
              </w:numPr>
              <w:cnfStyle w:val="000000100000" w:firstRow="0" w:lastRow="0" w:firstColumn="0" w:lastColumn="0" w:oddVBand="0" w:evenVBand="0" w:oddHBand="1" w:evenHBand="0" w:firstRowFirstColumn="0" w:firstRowLastColumn="0" w:lastRowFirstColumn="0" w:lastRowLastColumn="0"/>
            </w:pPr>
            <w:r>
              <w:t>Confirming that contractors are compliant with relevant Marine Orders</w:t>
            </w:r>
            <w:r w:rsidR="00732BF9">
              <w:t xml:space="preserve"> relating to emissions management</w:t>
            </w:r>
          </w:p>
          <w:p w14:paraId="7D350B6E" w14:textId="46A7E918" w:rsidR="0052758D" w:rsidRDefault="0052758D" w:rsidP="0052758D">
            <w:pPr>
              <w:pStyle w:val="Tabletext9"/>
              <w:numPr>
                <w:ilvl w:val="0"/>
                <w:numId w:val="27"/>
              </w:numPr>
              <w:cnfStyle w:val="000000100000" w:firstRow="0" w:lastRow="0" w:firstColumn="0" w:lastColumn="0" w:oddVBand="0" w:evenVBand="0" w:oddHBand="1" w:evenHBand="0" w:firstRowFirstColumn="0" w:firstRowLastColumn="0" w:lastRowFirstColumn="0" w:lastRowLastColumn="0"/>
            </w:pPr>
            <w:r>
              <w:t>Assisting contractors as and where necessary to fulfill their legislated emissions reporting requirements</w:t>
            </w:r>
            <w:r w:rsidR="00985763">
              <w:t>.</w:t>
            </w:r>
          </w:p>
          <w:p w14:paraId="643066B2" w14:textId="4103EDD9" w:rsidR="00987AAF" w:rsidRDefault="00870EA9" w:rsidP="0052758D">
            <w:pPr>
              <w:pStyle w:val="Tabletext9"/>
              <w:cnfStyle w:val="000000100000" w:firstRow="0" w:lastRow="0" w:firstColumn="0" w:lastColumn="0" w:oddVBand="0" w:evenVBand="0" w:oddHBand="1" w:evenHBand="0" w:firstRowFirstColumn="0" w:firstRowLastColumn="0" w:lastRowFirstColumn="0" w:lastRowLastColumn="0"/>
            </w:pPr>
            <w:r>
              <w:t>INPEX considers t</w:t>
            </w:r>
            <w:r w:rsidR="00987AAF">
              <w:t xml:space="preserve">hat </w:t>
            </w:r>
            <w:r w:rsidR="00B35FEC">
              <w:t>programs</w:t>
            </w:r>
            <w:r w:rsidR="00C47843">
              <w:t xml:space="preserve"> undertaking to </w:t>
            </w:r>
            <w:r w:rsidR="00B31D88">
              <w:t>voluntar</w:t>
            </w:r>
            <w:r w:rsidR="00C47843">
              <w:t>ily</w:t>
            </w:r>
            <w:r w:rsidR="00B31D88">
              <w:t xml:space="preserve"> </w:t>
            </w:r>
            <w:r w:rsidR="00987AAF">
              <w:t xml:space="preserve">offset emissions </w:t>
            </w:r>
            <w:r w:rsidR="000E7BCC">
              <w:t xml:space="preserve">over which it has operational control </w:t>
            </w:r>
            <w:r w:rsidR="00FE0CD7">
              <w:t>(</w:t>
            </w:r>
            <w:r w:rsidR="00690565">
              <w:t>over</w:t>
            </w:r>
            <w:r w:rsidR="00117B8C">
              <w:t>-</w:t>
            </w:r>
            <w:r w:rsidR="00690565">
              <w:t>and</w:t>
            </w:r>
            <w:r w:rsidR="00117B8C">
              <w:t>-</w:t>
            </w:r>
            <w:r w:rsidR="00690565">
              <w:t xml:space="preserve">above </w:t>
            </w:r>
            <w:r w:rsidR="00117B8C">
              <w:t xml:space="preserve">obligations arising out of the Safeguard </w:t>
            </w:r>
            <w:r w:rsidR="001B4207">
              <w:t>Mechanism</w:t>
            </w:r>
            <w:r w:rsidR="00FE0CD7">
              <w:t>)</w:t>
            </w:r>
            <w:r w:rsidR="00117B8C">
              <w:t xml:space="preserve"> </w:t>
            </w:r>
            <w:r w:rsidR="00C47843">
              <w:t>can be appropriate</w:t>
            </w:r>
            <w:r w:rsidR="00DF3D03">
              <w:t xml:space="preserve"> to the extent that </w:t>
            </w:r>
            <w:r w:rsidR="004876C6">
              <w:t>such programs</w:t>
            </w:r>
            <w:r w:rsidR="0005455A">
              <w:t xml:space="preserve"> are employed to</w:t>
            </w:r>
            <w:r w:rsidR="00087C20">
              <w:t xml:space="preserve"> ensure</w:t>
            </w:r>
            <w:r w:rsidR="00F661BA">
              <w:t xml:space="preserve"> actual</w:t>
            </w:r>
            <w:r w:rsidR="00087C20">
              <w:t xml:space="preserve"> </w:t>
            </w:r>
            <w:r w:rsidR="004B1247">
              <w:t>Scope 1 emissions re</w:t>
            </w:r>
            <w:r w:rsidR="00FC5F79">
              <w:t>main within forecast levels</w:t>
            </w:r>
            <w:r w:rsidR="008B3285">
              <w:t>.</w:t>
            </w:r>
            <w:r w:rsidR="004876C6">
              <w:t xml:space="preserve"> </w:t>
            </w:r>
            <w:r w:rsidR="003C6A96">
              <w:t xml:space="preserve">Such a program is undertaken at </w:t>
            </w:r>
            <w:r w:rsidR="00C67FAF">
              <w:t>an INPEX Corporation op</w:t>
            </w:r>
            <w:r w:rsidR="0032116B">
              <w:t>eration in Australi</w:t>
            </w:r>
            <w:r w:rsidR="00FE0CD7">
              <w:t>a.</w:t>
            </w:r>
          </w:p>
          <w:p w14:paraId="1CBA7445" w14:textId="55C40FEB" w:rsidR="005D56A1" w:rsidRDefault="00DF20C1" w:rsidP="00110076">
            <w:pPr>
              <w:pStyle w:val="Tabletext9"/>
              <w:cnfStyle w:val="000000100000" w:firstRow="0" w:lastRow="0" w:firstColumn="0" w:lastColumn="0" w:oddVBand="0" w:evenVBand="0" w:oddHBand="1" w:evenHBand="0" w:firstRowFirstColumn="0" w:firstRowLastColumn="0" w:lastRowFirstColumn="0" w:lastRowLastColumn="0"/>
            </w:pPr>
            <w:r>
              <w:t xml:space="preserve">INPEX does not consider </w:t>
            </w:r>
            <w:r w:rsidR="003F154C">
              <w:t xml:space="preserve">the voluntary </w:t>
            </w:r>
            <w:r>
              <w:t xml:space="preserve">offsetting of </w:t>
            </w:r>
            <w:r w:rsidR="00F97F36">
              <w:t>S</w:t>
            </w:r>
            <w:r>
              <w:t xml:space="preserve">cope 3 </w:t>
            </w:r>
            <w:r w:rsidR="002B2741">
              <w:t xml:space="preserve">emissions </w:t>
            </w:r>
            <w:r w:rsidR="003F154C">
              <w:t>to be</w:t>
            </w:r>
            <w:r w:rsidR="002B2741">
              <w:t xml:space="preserve"> reasonable given</w:t>
            </w:r>
            <w:r w:rsidR="00110076">
              <w:t xml:space="preserve"> s</w:t>
            </w:r>
            <w:r w:rsidR="002B42FD">
              <w:t>uch a</w:t>
            </w:r>
            <w:r w:rsidR="009C0F39">
              <w:t>ction</w:t>
            </w:r>
            <w:r w:rsidR="002B42FD">
              <w:t xml:space="preserve"> is duplicative </w:t>
            </w:r>
            <w:r w:rsidR="002973B6">
              <w:t>of</w:t>
            </w:r>
            <w:r w:rsidR="009C0F39">
              <w:t xml:space="preserve"> t</w:t>
            </w:r>
            <w:r w:rsidR="0052758D">
              <w:t xml:space="preserve">he direct responsibility for the management of </w:t>
            </w:r>
            <w:r w:rsidR="00CA613E">
              <w:t xml:space="preserve">the same </w:t>
            </w:r>
            <w:r w:rsidR="0052758D">
              <w:t>emissions,</w:t>
            </w:r>
            <w:r w:rsidR="00F35319">
              <w:t xml:space="preserve"> </w:t>
            </w:r>
            <w:r w:rsidR="00A33755">
              <w:t>held by the operators of associated MODU and vessels for whom the emissions are Scope 1 emissions</w:t>
            </w:r>
            <w:r w:rsidR="00F80D84">
              <w:t>.</w:t>
            </w:r>
            <w:r w:rsidR="00442F31">
              <w:t xml:space="preserve"> </w:t>
            </w:r>
            <w:r w:rsidR="0052758D" w:rsidRPr="002619AE">
              <w:t>The operators of these facilities</w:t>
            </w:r>
            <w:r w:rsidR="00EE4A7F">
              <w:t xml:space="preserve"> will be</w:t>
            </w:r>
            <w:r w:rsidR="0052758D" w:rsidRPr="002619AE">
              <w:t xml:space="preserve"> bound by the same legislative </w:t>
            </w:r>
            <w:r w:rsidR="0052758D">
              <w:t xml:space="preserve">framework </w:t>
            </w:r>
            <w:r w:rsidR="00650189">
              <w:t xml:space="preserve">(NGER Act and subordinate legislation) </w:t>
            </w:r>
            <w:r w:rsidR="006F2100">
              <w:t xml:space="preserve">as </w:t>
            </w:r>
            <w:r w:rsidR="00F56AFC">
              <w:t xml:space="preserve">other GHG emitters </w:t>
            </w:r>
            <w:r w:rsidR="0053454C">
              <w:t xml:space="preserve">with </w:t>
            </w:r>
            <w:r w:rsidR="004D4931">
              <w:t>the same consideration</w:t>
            </w:r>
            <w:r w:rsidR="003A7F96">
              <w:t>s</w:t>
            </w:r>
            <w:r w:rsidR="004D4931">
              <w:t xml:space="preserve"> </w:t>
            </w:r>
            <w:r w:rsidR="00E8621A">
              <w:t>with respect to materiality and the same obligations</w:t>
            </w:r>
            <w:r w:rsidR="009049E4">
              <w:t>,</w:t>
            </w:r>
            <w:r w:rsidR="00E753E3">
              <w:t xml:space="preserve"> as appropriate,</w:t>
            </w:r>
            <w:r w:rsidR="00E8621A">
              <w:t xml:space="preserve"> to reduce emissions to</w:t>
            </w:r>
            <w:r w:rsidR="007468FE">
              <w:t xml:space="preserve"> net zero by 2050</w:t>
            </w:r>
            <w:r w:rsidR="00E753E3">
              <w:t xml:space="preserve">. </w:t>
            </w:r>
            <w:r w:rsidR="00AE1AB2">
              <w:t xml:space="preserve"> </w:t>
            </w:r>
          </w:p>
          <w:p w14:paraId="499D0E7A" w14:textId="3D69304C" w:rsidR="00BF7462" w:rsidRDefault="00D64D5E" w:rsidP="00E74DD7">
            <w:pPr>
              <w:pStyle w:val="Tabletext9"/>
              <w:cnfStyle w:val="000000100000" w:firstRow="0" w:lastRow="0" w:firstColumn="0" w:lastColumn="0" w:oddVBand="0" w:evenVBand="0" w:oddHBand="1" w:evenHBand="0" w:firstRowFirstColumn="0" w:firstRowLastColumn="0" w:lastRowFirstColumn="0" w:lastRowLastColumn="0"/>
            </w:pPr>
            <w:r>
              <w:t>More broadly, i</w:t>
            </w:r>
            <w:r w:rsidR="00A27B31">
              <w:t xml:space="preserve">n line with its </w:t>
            </w:r>
            <w:r w:rsidR="00457286">
              <w:t>2030 and 2050 emissions reductions goals</w:t>
            </w:r>
            <w:r>
              <w:t>,</w:t>
            </w:r>
            <w:r w:rsidR="00457286">
              <w:t xml:space="preserve"> INPEX</w:t>
            </w:r>
            <w:r w:rsidR="00E87FE1">
              <w:t xml:space="preserve"> Corporation’s </w:t>
            </w:r>
            <w:r w:rsidR="009D3FA4">
              <w:t>medium term</w:t>
            </w:r>
            <w:r w:rsidR="00956D36">
              <w:t xml:space="preserve"> business plan </w:t>
            </w:r>
            <w:r w:rsidR="00CA6392">
              <w:t>i</w:t>
            </w:r>
            <w:r w:rsidR="002D0E24">
              <w:t>dentifies</w:t>
            </w:r>
            <w:r w:rsidR="00CA6392">
              <w:t xml:space="preserve"> the following focus areas </w:t>
            </w:r>
            <w:r w:rsidR="00EE0978">
              <w:t>to make the business cleaner in Australia:</w:t>
            </w:r>
          </w:p>
          <w:p w14:paraId="4DEF96C0" w14:textId="774E430F" w:rsidR="00894F57" w:rsidRDefault="00894F57" w:rsidP="00362B47">
            <w:pPr>
              <w:pStyle w:val="Tablelistbullet9"/>
              <w:cnfStyle w:val="000000100000" w:firstRow="0" w:lastRow="0" w:firstColumn="0" w:lastColumn="0" w:oddVBand="0" w:evenVBand="0" w:oddHBand="1" w:evenHBand="0" w:firstRowFirstColumn="0" w:firstRowLastColumn="0" w:lastRowFirstColumn="0" w:lastRowLastColumn="0"/>
            </w:pPr>
            <w:r>
              <w:t>C</w:t>
            </w:r>
            <w:r w:rsidR="00B15C24">
              <w:t xml:space="preserve">arbon </w:t>
            </w:r>
            <w:r>
              <w:t>C</w:t>
            </w:r>
            <w:r w:rsidR="00B15C24">
              <w:t xml:space="preserve">apture </w:t>
            </w:r>
            <w:r>
              <w:t>S</w:t>
            </w:r>
            <w:r w:rsidR="00B15C24">
              <w:t>torage (CCS)</w:t>
            </w:r>
            <w:r w:rsidR="004C004F">
              <w:t>:</w:t>
            </w:r>
          </w:p>
          <w:p w14:paraId="43EE4705" w14:textId="520FC8D7" w:rsidR="00894F57" w:rsidRDefault="00894F57" w:rsidP="004F7070">
            <w:pPr>
              <w:pStyle w:val="Tabletext9"/>
              <w:numPr>
                <w:ilvl w:val="0"/>
                <w:numId w:val="35"/>
              </w:numPr>
              <w:cnfStyle w:val="000000100000" w:firstRow="0" w:lastRow="0" w:firstColumn="0" w:lastColumn="0" w:oddVBand="0" w:evenVBand="0" w:oddHBand="1" w:evenHBand="0" w:firstRowFirstColumn="0" w:firstRowLastColumn="0" w:lastRowFirstColumn="0" w:lastRowLastColumn="0"/>
            </w:pPr>
            <w:r>
              <w:t>Implement appraisal well drilling and evaluation work towards</w:t>
            </w:r>
            <w:r w:rsidR="003204DE">
              <w:t xml:space="preserve"> </w:t>
            </w:r>
            <w:r>
              <w:t>conducting Ichthys CCS operations</w:t>
            </w:r>
            <w:r w:rsidR="004C004F">
              <w:t>.</w:t>
            </w:r>
          </w:p>
          <w:p w14:paraId="008AD125" w14:textId="4298BAB2" w:rsidR="00894F57" w:rsidRDefault="00894F57" w:rsidP="004F7070">
            <w:pPr>
              <w:pStyle w:val="Tabletext9"/>
              <w:numPr>
                <w:ilvl w:val="0"/>
                <w:numId w:val="35"/>
              </w:numPr>
              <w:cnfStyle w:val="000000100000" w:firstRow="0" w:lastRow="0" w:firstColumn="0" w:lastColumn="0" w:oddVBand="0" w:evenVBand="0" w:oddHBand="1" w:evenHBand="0" w:firstRowFirstColumn="0" w:firstRowLastColumn="0" w:lastRowFirstColumn="0" w:lastRowLastColumn="0"/>
            </w:pPr>
            <w:r>
              <w:t>Play a leading role towards the realization of a CCS hub</w:t>
            </w:r>
            <w:r w:rsidR="003204DE">
              <w:t xml:space="preserve"> </w:t>
            </w:r>
            <w:r>
              <w:t>project in Darwin, Australia</w:t>
            </w:r>
            <w:r w:rsidR="004C004F">
              <w:t>.</w:t>
            </w:r>
          </w:p>
          <w:p w14:paraId="7D69B263" w14:textId="7276C927" w:rsidR="00894F57" w:rsidRDefault="00894F57" w:rsidP="009666C8">
            <w:pPr>
              <w:pStyle w:val="Tablelistbullet9"/>
              <w:cnfStyle w:val="000000100000" w:firstRow="0" w:lastRow="0" w:firstColumn="0" w:lastColumn="0" w:oddVBand="0" w:evenVBand="0" w:oddHBand="1" w:evenHBand="0" w:firstRowFirstColumn="0" w:firstRowLastColumn="0" w:lastRowFirstColumn="0" w:lastRowLastColumn="0"/>
            </w:pPr>
            <w:r>
              <w:t>Reduce flaring, improve operational efficiency</w:t>
            </w:r>
            <w:r w:rsidR="004C004F">
              <w:t>:</w:t>
            </w:r>
          </w:p>
          <w:p w14:paraId="4241720C" w14:textId="783F094A" w:rsidR="00894F57" w:rsidRDefault="00894F57" w:rsidP="004F7070">
            <w:pPr>
              <w:pStyle w:val="Tabletext9"/>
              <w:numPr>
                <w:ilvl w:val="0"/>
                <w:numId w:val="34"/>
              </w:numPr>
              <w:cnfStyle w:val="000000100000" w:firstRow="0" w:lastRow="0" w:firstColumn="0" w:lastColumn="0" w:oddVBand="0" w:evenVBand="0" w:oddHBand="1" w:evenHBand="0" w:firstRowFirstColumn="0" w:firstRowLastColumn="0" w:lastRowFirstColumn="0" w:lastRowLastColumn="0"/>
            </w:pPr>
            <w:r>
              <w:lastRenderedPageBreak/>
              <w:t>Introduce measures to minimize flaring during production</w:t>
            </w:r>
            <w:r w:rsidR="004F7070">
              <w:t xml:space="preserve"> </w:t>
            </w:r>
            <w:r>
              <w:t>and fuel gas consumption and promote low carbon</w:t>
            </w:r>
            <w:r w:rsidR="004F7070">
              <w:t xml:space="preserve"> </w:t>
            </w:r>
            <w:r>
              <w:t>operations</w:t>
            </w:r>
            <w:r w:rsidR="004C004F">
              <w:t>.</w:t>
            </w:r>
          </w:p>
          <w:p w14:paraId="63C10BDA" w14:textId="106F8BA4" w:rsidR="00894F57" w:rsidRDefault="00894F57" w:rsidP="009666C8">
            <w:pPr>
              <w:pStyle w:val="Tablelistbullet9"/>
              <w:cnfStyle w:val="000000100000" w:firstRow="0" w:lastRow="0" w:firstColumn="0" w:lastColumn="0" w:oddVBand="0" w:evenVBand="0" w:oddHBand="1" w:evenHBand="0" w:firstRowFirstColumn="0" w:firstRowLastColumn="0" w:lastRowFirstColumn="0" w:lastRowLastColumn="0"/>
            </w:pPr>
            <w:r>
              <w:t>New business/renewable energy business</w:t>
            </w:r>
            <w:r w:rsidR="004C004F">
              <w:t>:</w:t>
            </w:r>
          </w:p>
          <w:p w14:paraId="1C5938EA" w14:textId="255458CA" w:rsidR="00894F57" w:rsidRDefault="00894F57" w:rsidP="004F7070">
            <w:pPr>
              <w:pStyle w:val="Tabletext9"/>
              <w:numPr>
                <w:ilvl w:val="0"/>
                <w:numId w:val="33"/>
              </w:numPr>
              <w:cnfStyle w:val="000000100000" w:firstRow="0" w:lastRow="0" w:firstColumn="0" w:lastColumn="0" w:oddVBand="0" w:evenVBand="0" w:oddHBand="1" w:evenHBand="0" w:firstRowFirstColumn="0" w:firstRowLastColumn="0" w:lastRowFirstColumn="0" w:lastRowLastColumn="0"/>
            </w:pPr>
            <w:r>
              <w:t>Proactively participate in Australian renewable energy</w:t>
            </w:r>
            <w:r w:rsidR="004F7070">
              <w:t xml:space="preserve"> </w:t>
            </w:r>
            <w:r>
              <w:t>businesses</w:t>
            </w:r>
            <w:r w:rsidR="004C004F">
              <w:t>.</w:t>
            </w:r>
          </w:p>
          <w:p w14:paraId="7BC2A989" w14:textId="2FDF0F6E" w:rsidR="00894F57" w:rsidRDefault="00894F57" w:rsidP="004F7070">
            <w:pPr>
              <w:pStyle w:val="Tabletext9"/>
              <w:numPr>
                <w:ilvl w:val="0"/>
                <w:numId w:val="33"/>
              </w:numPr>
              <w:cnfStyle w:val="000000100000" w:firstRow="0" w:lastRow="0" w:firstColumn="0" w:lastColumn="0" w:oddVBand="0" w:evenVBand="0" w:oddHBand="1" w:evenHBand="0" w:firstRowFirstColumn="0" w:firstRowLastColumn="0" w:lastRowFirstColumn="0" w:lastRowLastColumn="0"/>
            </w:pPr>
            <w:r>
              <w:t>Expand forest conservation business targeting 2024</w:t>
            </w:r>
            <w:r w:rsidR="004C004F">
              <w:t>.</w:t>
            </w:r>
          </w:p>
          <w:p w14:paraId="08013491" w14:textId="1B5FC4D5" w:rsidR="003D362C" w:rsidRDefault="00894F57" w:rsidP="00E80EB4">
            <w:pPr>
              <w:pStyle w:val="Tabletext9"/>
              <w:numPr>
                <w:ilvl w:val="0"/>
                <w:numId w:val="33"/>
              </w:numPr>
              <w:cnfStyle w:val="000000100000" w:firstRow="0" w:lastRow="0" w:firstColumn="0" w:lastColumn="0" w:oddVBand="0" w:evenVBand="0" w:oddHBand="1" w:evenHBand="0" w:firstRowFirstColumn="0" w:firstRowLastColumn="0" w:lastRowFirstColumn="0" w:lastRowLastColumn="0"/>
            </w:pPr>
            <w:r>
              <w:t>Promote clean hydrogen projects</w:t>
            </w:r>
            <w:r w:rsidR="004C004F">
              <w:t>.</w:t>
            </w:r>
          </w:p>
          <w:p w14:paraId="4B26D4C3" w14:textId="1C274379" w:rsidR="0051511A" w:rsidRDefault="004D726A" w:rsidP="00E80EB4">
            <w:pPr>
              <w:pStyle w:val="Tabletext9"/>
              <w:cnfStyle w:val="000000100000" w:firstRow="0" w:lastRow="0" w:firstColumn="0" w:lastColumn="0" w:oddVBand="0" w:evenVBand="0" w:oddHBand="1" w:evenHBand="0" w:firstRowFirstColumn="0" w:firstRowLastColumn="0" w:lastRowFirstColumn="0" w:lastRowLastColumn="0"/>
            </w:pPr>
            <w:r>
              <w:t xml:space="preserve">One public comment </w:t>
            </w:r>
            <w:r w:rsidR="00946FE4">
              <w:t xml:space="preserve">incorrectly </w:t>
            </w:r>
            <w:r>
              <w:t xml:space="preserve">stated that the GHG emissions </w:t>
            </w:r>
            <w:r w:rsidR="00066125">
              <w:t xml:space="preserve">associated with the activity </w:t>
            </w:r>
            <w:r>
              <w:t xml:space="preserve">were 58,070 t-CO2-e. The </w:t>
            </w:r>
            <w:r w:rsidR="00A37D83">
              <w:t xml:space="preserve">expected </w:t>
            </w:r>
            <w:r>
              <w:t>GHG</w:t>
            </w:r>
            <w:r w:rsidR="00A37D83">
              <w:t xml:space="preserve"> emissions presented in Table 3-4</w:t>
            </w:r>
            <w:r w:rsidR="00066125">
              <w:t xml:space="preserve"> of the EP</w:t>
            </w:r>
            <w:r w:rsidR="00A37D83">
              <w:t xml:space="preserve"> show the possible options for a range of </w:t>
            </w:r>
            <w:r w:rsidR="004A69AF">
              <w:t>MODUs</w:t>
            </w:r>
            <w:r w:rsidR="0099148C">
              <w:t xml:space="preserve"> (jack-up, moored semi-submersible and DP semi-submersible)</w:t>
            </w:r>
            <w:r w:rsidR="00A37D83">
              <w:t xml:space="preserve">. As only one type of </w:t>
            </w:r>
            <w:r w:rsidR="00684A06">
              <w:t>MODU</w:t>
            </w:r>
            <w:r w:rsidR="00A37D83">
              <w:t xml:space="preserve"> would be used, it is incorrect to include the expected emissions from all three types </w:t>
            </w:r>
            <w:r w:rsidR="00684A06">
              <w:t>of MODU</w:t>
            </w:r>
            <w:r w:rsidR="00A37D83">
              <w:t xml:space="preserve"> present</w:t>
            </w:r>
            <w:r w:rsidR="0051511A">
              <w:t>ed. Table 3-4 of the EP has been amended t</w:t>
            </w:r>
            <w:r w:rsidR="009A289B">
              <w:t>o remove the option of a DP semi-submersible rig</w:t>
            </w:r>
            <w:r w:rsidR="001A3BE3">
              <w:t xml:space="preserve"> as this will no longer be selected for use. Therefore, </w:t>
            </w:r>
            <w:r w:rsidR="000B4D7B">
              <w:t xml:space="preserve">Section 3.6 of </w:t>
            </w:r>
            <w:r w:rsidR="00D220A4">
              <w:t xml:space="preserve">the EP has been updated to </w:t>
            </w:r>
            <w:r w:rsidR="001A3BE3">
              <w:t>clarify</w:t>
            </w:r>
            <w:r w:rsidR="000B4D7B">
              <w:t xml:space="preserve"> that</w:t>
            </w:r>
            <w:r w:rsidR="001A3BE3">
              <w:t xml:space="preserve"> the total expected </w:t>
            </w:r>
            <w:r w:rsidR="00120DF0">
              <w:t xml:space="preserve">GHG emissions associated with the activity are 16,106 t-CO2-e if a jack-up </w:t>
            </w:r>
            <w:r w:rsidR="004603F0">
              <w:t>MODU</w:t>
            </w:r>
            <w:r w:rsidR="00120DF0">
              <w:t xml:space="preserve"> is used; or </w:t>
            </w:r>
            <w:r w:rsidR="004A69AF">
              <w:t xml:space="preserve">17,933 t-CO2-e if a moored semi-submersible </w:t>
            </w:r>
            <w:r w:rsidR="004603F0">
              <w:t>MODU</w:t>
            </w:r>
            <w:r w:rsidR="004A69AF">
              <w:t xml:space="preserve"> is used.</w:t>
            </w:r>
            <w:r w:rsidR="00D220A4">
              <w:t xml:space="preserve"> </w:t>
            </w:r>
          </w:p>
          <w:p w14:paraId="26660AFE" w14:textId="2E891989" w:rsidR="00396B14" w:rsidRDefault="00797476" w:rsidP="006E67E3">
            <w:pPr>
              <w:pStyle w:val="Tabletext9"/>
              <w:cnfStyle w:val="000000100000" w:firstRow="0" w:lastRow="0" w:firstColumn="0" w:lastColumn="0" w:oddVBand="0" w:evenVBand="0" w:oddHBand="1" w:evenHBand="0" w:firstRowFirstColumn="0" w:firstRowLastColumn="0" w:lastRowFirstColumn="0" w:lastRowLastColumn="0"/>
            </w:pPr>
            <w:r>
              <w:t>Section 7.1.2</w:t>
            </w:r>
            <w:r w:rsidR="00AD6811">
              <w:t xml:space="preserve"> (</w:t>
            </w:r>
            <w:r>
              <w:t xml:space="preserve">Table </w:t>
            </w:r>
            <w:r w:rsidR="00783B6F">
              <w:t>7-2</w:t>
            </w:r>
            <w:r w:rsidR="00AD6811">
              <w:t>)</w:t>
            </w:r>
            <w:r w:rsidR="00783B6F">
              <w:t xml:space="preserve"> provides an impact and risk evaluation for atmospheric emissions from </w:t>
            </w:r>
            <w:r w:rsidR="00AD6811">
              <w:t>the MODU and vessels associated with</w:t>
            </w:r>
            <w:r w:rsidR="00783B6F">
              <w:t xml:space="preserve"> the </w:t>
            </w:r>
            <w:r w:rsidR="00AD6811">
              <w:t xml:space="preserve">activity. </w:t>
            </w:r>
            <w:r w:rsidR="00640D7D">
              <w:t xml:space="preserve">Within Table 7-2, the particular values and sensitivities identified </w:t>
            </w:r>
            <w:r w:rsidR="00573F1B">
              <w:t>as potentially being impacted by atmospheric emissions</w:t>
            </w:r>
            <w:r w:rsidR="590B780B">
              <w:t>,</w:t>
            </w:r>
            <w:r w:rsidR="00573F1B">
              <w:t xml:space="preserve"> includes climate</w:t>
            </w:r>
            <w:r w:rsidR="00797101">
              <w:t xml:space="preserve"> and marine avifauna</w:t>
            </w:r>
            <w:r w:rsidR="00573F1B">
              <w:t>.</w:t>
            </w:r>
            <w:r w:rsidR="00797101">
              <w:t xml:space="preserve"> A further assessment and acknowledgement </w:t>
            </w:r>
            <w:r w:rsidR="006E67E3">
              <w:t xml:space="preserve">is </w:t>
            </w:r>
            <w:r w:rsidR="00463C9A">
              <w:t xml:space="preserve">then </w:t>
            </w:r>
            <w:r w:rsidR="006E67E3">
              <w:t xml:space="preserve">presented </w:t>
            </w:r>
            <w:r w:rsidR="00396B14">
              <w:t>stating that t</w:t>
            </w:r>
            <w:r w:rsidR="006E67E3">
              <w:t xml:space="preserve">he </w:t>
            </w:r>
            <w:r w:rsidR="00D7593A">
              <w:t>“</w:t>
            </w:r>
            <w:r w:rsidR="006E67E3" w:rsidRPr="70F9F10F">
              <w:rPr>
                <w:i/>
                <w:iCs/>
              </w:rPr>
              <w:t>various sources of atmospheric emissions generated from the activity will add to overall global GHG concentrations</w:t>
            </w:r>
            <w:r w:rsidR="008A78B3" w:rsidRPr="008A78B3">
              <w:t>”</w:t>
            </w:r>
            <w:r w:rsidR="006E67E3">
              <w:t xml:space="preserve">. </w:t>
            </w:r>
          </w:p>
          <w:p w14:paraId="266F2885" w14:textId="01C34A41" w:rsidR="00E80EB4" w:rsidRDefault="00121154" w:rsidP="006E67E3">
            <w:pPr>
              <w:pStyle w:val="Tabletext9"/>
              <w:cnfStyle w:val="000000100000" w:firstRow="0" w:lastRow="0" w:firstColumn="0" w:lastColumn="0" w:oddVBand="0" w:evenVBand="0" w:oddHBand="1" w:evenHBand="0" w:firstRowFirstColumn="0" w:firstRowLastColumn="0" w:lastRowFirstColumn="0" w:lastRowLastColumn="0"/>
            </w:pPr>
            <w:r>
              <w:t xml:space="preserve">Based on the relatively </w:t>
            </w:r>
            <w:r w:rsidR="008A78B3">
              <w:t>short-</w:t>
            </w:r>
            <w:r>
              <w:t xml:space="preserve">term and temporary duration of the activity, the </w:t>
            </w:r>
            <w:r w:rsidR="006E67E3">
              <w:t xml:space="preserve">contribution arising from vessels and the MODU (such as from fuel </w:t>
            </w:r>
            <w:r w:rsidR="00946FE4">
              <w:t>combustion</w:t>
            </w:r>
            <w:r w:rsidR="006E67E3">
              <w:t xml:space="preserve">) </w:t>
            </w:r>
            <w:proofErr w:type="gramStart"/>
            <w:r>
              <w:t>is considered to be</w:t>
            </w:r>
            <w:proofErr w:type="gramEnd"/>
            <w:r w:rsidR="006E67E3">
              <w:t xml:space="preserve"> insignificant in volume on a global scale</w:t>
            </w:r>
            <w:r w:rsidR="003D362C">
              <w:t xml:space="preserve"> (refer paragraph above 16,106 t-CO2-e or 17,933 t-CO2-e </w:t>
            </w:r>
            <w:r w:rsidR="00695ABE">
              <w:t>depending on MODU type used</w:t>
            </w:r>
            <w:r w:rsidR="00A51BAA">
              <w:t>)</w:t>
            </w:r>
            <w:r w:rsidR="006E67E3">
              <w:t>.</w:t>
            </w:r>
            <w:r w:rsidR="00AB19BD">
              <w:t xml:space="preserve"> </w:t>
            </w:r>
          </w:p>
          <w:p w14:paraId="3C4EF941" w14:textId="471B2BC3" w:rsidR="0064324E" w:rsidRPr="00E76D7F" w:rsidRDefault="00AE2355" w:rsidP="0064324E">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695ABE">
              <w:t xml:space="preserve">The activities and proposed </w:t>
            </w:r>
            <w:r w:rsidR="00001915">
              <w:t>controls</w:t>
            </w:r>
            <w:r w:rsidR="00695ABE">
              <w:t xml:space="preserve"> to manage atmospheric emissions </w:t>
            </w:r>
            <w:r w:rsidRPr="00695ABE">
              <w:t xml:space="preserve">are compliant with industry standards, relevant international conventions and </w:t>
            </w:r>
            <w:r w:rsidRPr="00695ABE">
              <w:lastRenderedPageBreak/>
              <w:t>Australian legislation,</w:t>
            </w:r>
            <w:r w:rsidR="00001915">
              <w:t xml:space="preserve"> </w:t>
            </w:r>
            <w:r w:rsidRPr="00695ABE">
              <w:t xml:space="preserve">specifically AMSA Marine Order 97: Marine Pollution Prevention – Air Pollution, the </w:t>
            </w:r>
            <w:r w:rsidRPr="00957B98">
              <w:rPr>
                <w:i/>
                <w:iCs/>
              </w:rPr>
              <w:t>P</w:t>
            </w:r>
            <w:r w:rsidR="00957B98" w:rsidRPr="00957B98">
              <w:rPr>
                <w:i/>
                <w:iCs/>
              </w:rPr>
              <w:t>rotection of the Sea</w:t>
            </w:r>
            <w:r w:rsidRPr="00957B98">
              <w:rPr>
                <w:i/>
                <w:iCs/>
              </w:rPr>
              <w:t xml:space="preserve"> Act</w:t>
            </w:r>
            <w:r w:rsidRPr="00695ABE">
              <w:t xml:space="preserve">, the </w:t>
            </w:r>
            <w:r w:rsidRPr="00957B98">
              <w:rPr>
                <w:i/>
                <w:iCs/>
              </w:rPr>
              <w:t>Navigation Act</w:t>
            </w:r>
            <w:r w:rsidRPr="00695ABE">
              <w:t xml:space="preserve"> 2012, and MARPOL, Annex VI.</w:t>
            </w:r>
            <w:r w:rsidR="008E350B">
              <w:t xml:space="preserve"> </w:t>
            </w:r>
          </w:p>
        </w:tc>
      </w:tr>
      <w:tr w:rsidR="00F30E07" w14:paraId="7117E710" w14:textId="77777777" w:rsidTr="70F9F1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0519459F" w14:textId="0ED5FD6B" w:rsidR="00F30E07" w:rsidRDefault="00F30E07" w:rsidP="001D5730">
            <w:pPr>
              <w:pStyle w:val="Tabletext9"/>
            </w:pPr>
            <w:r>
              <w:lastRenderedPageBreak/>
              <w:t>2</w:t>
            </w:r>
          </w:p>
        </w:tc>
        <w:tc>
          <w:tcPr>
            <w:tcW w:w="5685" w:type="dxa"/>
          </w:tcPr>
          <w:p w14:paraId="15930CE2" w14:textId="77777777" w:rsidR="00130E5E" w:rsidRPr="00130E5E" w:rsidRDefault="00130E5E" w:rsidP="00130E5E">
            <w:pPr>
              <w:pStyle w:val="Tabletext9"/>
              <w:cnfStyle w:val="000000010000" w:firstRow="0" w:lastRow="0" w:firstColumn="0" w:lastColumn="0" w:oddVBand="0" w:evenVBand="0" w:oddHBand="0" w:evenHBand="1" w:firstRowFirstColumn="0" w:firstRowLastColumn="0" w:lastRowFirstColumn="0" w:lastRowLastColumn="0"/>
              <w:rPr>
                <w:b/>
                <w:bCs/>
              </w:rPr>
            </w:pPr>
            <w:r w:rsidRPr="00130E5E">
              <w:rPr>
                <w:b/>
                <w:bCs/>
              </w:rPr>
              <w:t>Matter:</w:t>
            </w:r>
          </w:p>
          <w:p w14:paraId="0FF1A8D7" w14:textId="77777777" w:rsidR="00F30E07" w:rsidRDefault="00FB776D" w:rsidP="001D5730">
            <w:pPr>
              <w:pStyle w:val="Tabletext9"/>
              <w:cnfStyle w:val="000000010000" w:firstRow="0" w:lastRow="0" w:firstColumn="0" w:lastColumn="0" w:oddVBand="0" w:evenVBand="0" w:oddHBand="0" w:evenHBand="1" w:firstRowFirstColumn="0" w:firstRowLastColumn="0" w:lastRowFirstColumn="0" w:lastRowLastColumn="0"/>
            </w:pPr>
            <w:r>
              <w:t>Cumulative and additive impacts from liquid discharges associated with drilling</w:t>
            </w:r>
            <w:r w:rsidR="00130E5E">
              <w:t>.</w:t>
            </w:r>
          </w:p>
          <w:p w14:paraId="45C82D85" w14:textId="77777777" w:rsidR="00130E5E" w:rsidRDefault="00130E5E" w:rsidP="001D5730">
            <w:pPr>
              <w:pStyle w:val="Tabletext9"/>
              <w:cnfStyle w:val="000000010000" w:firstRow="0" w:lastRow="0" w:firstColumn="0" w:lastColumn="0" w:oddVBand="0" w:evenVBand="0" w:oddHBand="0" w:evenHBand="1" w:firstRowFirstColumn="0" w:firstRowLastColumn="0" w:lastRowFirstColumn="0" w:lastRowLastColumn="0"/>
              <w:rPr>
                <w:b/>
              </w:rPr>
            </w:pPr>
            <w:r>
              <w:rPr>
                <w:b/>
              </w:rPr>
              <w:t>Claim:</w:t>
            </w:r>
          </w:p>
          <w:p w14:paraId="7E87E7F5" w14:textId="7DC5E65D" w:rsidR="002807DD" w:rsidRDefault="00062C9B" w:rsidP="001D5730">
            <w:pPr>
              <w:pStyle w:val="Tabletext9"/>
              <w:cnfStyle w:val="000000010000" w:firstRow="0" w:lastRow="0" w:firstColumn="0" w:lastColumn="0" w:oddVBand="0" w:evenVBand="0" w:oddHBand="0" w:evenHBand="1" w:firstRowFirstColumn="0" w:firstRowLastColumn="0" w:lastRowFirstColumn="0" w:lastRowLastColumn="0"/>
            </w:pPr>
            <w:r w:rsidRPr="00062C9B">
              <w:t xml:space="preserve">The </w:t>
            </w:r>
            <w:r>
              <w:t>EP</w:t>
            </w:r>
            <w:r w:rsidRPr="00062C9B">
              <w:t xml:space="preserve"> include</w:t>
            </w:r>
            <w:r>
              <w:t>s</w:t>
            </w:r>
            <w:r w:rsidRPr="00062C9B">
              <w:t xml:space="preserve"> discharges of cement slurry; water-based hydraulic fluids, blow out preventer control fluid; drill cuttings; contaminated bilge water; desalination brine; treated sewage and wastewater; cooling water; ballast; and firefighting foam (possibly including organic and fluorinated surfactants which are environmentally persistent, </w:t>
            </w:r>
            <w:proofErr w:type="spellStart"/>
            <w:r w:rsidRPr="00062C9B">
              <w:t>bioaccumulative</w:t>
            </w:r>
            <w:proofErr w:type="spellEnd"/>
            <w:r w:rsidRPr="00062C9B">
              <w:t xml:space="preserve">, implicated in seabird poor reproductive health, liver damage in fish and chronic autoimmune disease in dolphins. </w:t>
            </w:r>
          </w:p>
          <w:p w14:paraId="1AE4B937" w14:textId="77777777" w:rsidR="00D12172" w:rsidRDefault="00062C9B" w:rsidP="001D5730">
            <w:pPr>
              <w:pStyle w:val="Tabletext9"/>
              <w:cnfStyle w:val="000000010000" w:firstRow="0" w:lastRow="0" w:firstColumn="0" w:lastColumn="0" w:oddVBand="0" w:evenVBand="0" w:oddHBand="0" w:evenHBand="1" w:firstRowFirstColumn="0" w:firstRowLastColumn="0" w:lastRowFirstColumn="0" w:lastRowLastColumn="0"/>
            </w:pPr>
            <w:r w:rsidRPr="00062C9B">
              <w:t xml:space="preserve">The additive and cumulative effects of these marine discharges are not discussed in the </w:t>
            </w:r>
            <w:r w:rsidR="00CF124E">
              <w:t>EP</w:t>
            </w:r>
            <w:r w:rsidRPr="00062C9B">
              <w:t xml:space="preserve"> documents</w:t>
            </w:r>
          </w:p>
          <w:p w14:paraId="35909B76" w14:textId="28E4623D" w:rsidR="000E7594" w:rsidRPr="00D12172" w:rsidRDefault="000E7594" w:rsidP="001D5730">
            <w:pPr>
              <w:pStyle w:val="Tabletext9"/>
              <w:cnfStyle w:val="000000010000" w:firstRow="0" w:lastRow="0" w:firstColumn="0" w:lastColumn="0" w:oddVBand="0" w:evenVBand="0" w:oddHBand="0" w:evenHBand="1" w:firstRowFirstColumn="0" w:firstRowLastColumn="0" w:lastRowFirstColumn="0" w:lastRowLastColumn="0"/>
            </w:pPr>
            <w:r w:rsidRPr="00BD02B6">
              <w:t xml:space="preserve">Note: </w:t>
            </w:r>
            <w:r>
              <w:t>One</w:t>
            </w:r>
            <w:r w:rsidRPr="00BD02B6">
              <w:t xml:space="preserve"> </w:t>
            </w:r>
            <w:r w:rsidR="002F4044">
              <w:t>comment</w:t>
            </w:r>
            <w:r w:rsidRPr="00BD02B6">
              <w:t xml:space="preserve"> </w:t>
            </w:r>
            <w:r>
              <w:t xml:space="preserve">was </w:t>
            </w:r>
            <w:r w:rsidRPr="00BD02B6">
              <w:t>received in relation to this matter</w:t>
            </w:r>
            <w:r>
              <w:t>.</w:t>
            </w:r>
          </w:p>
        </w:tc>
        <w:tc>
          <w:tcPr>
            <w:tcW w:w="7761" w:type="dxa"/>
          </w:tcPr>
          <w:p w14:paraId="72E8C893" w14:textId="7F0BA0B8" w:rsidR="00D54C98" w:rsidRPr="00EA2F2F" w:rsidRDefault="00CD2FC6" w:rsidP="00CD2FC6">
            <w:pPr>
              <w:pStyle w:val="Tabletext9"/>
              <w:cnfStyle w:val="000000010000" w:firstRow="0" w:lastRow="0" w:firstColumn="0" w:lastColumn="0" w:oddVBand="0" w:evenVBand="0" w:oddHBand="0" w:evenHBand="1" w:firstRowFirstColumn="0" w:firstRowLastColumn="0" w:lastRowFirstColumn="0" w:lastRowLastColumn="0"/>
            </w:pPr>
            <w:proofErr w:type="gramStart"/>
            <w:r w:rsidRPr="00EA2F2F">
              <w:t>A number of</w:t>
            </w:r>
            <w:proofErr w:type="gramEnd"/>
            <w:r w:rsidRPr="00EA2F2F">
              <w:t xml:space="preserve"> liquid </w:t>
            </w:r>
            <w:r w:rsidR="000C6057">
              <w:t>discharge</w:t>
            </w:r>
            <w:r w:rsidR="000C6057" w:rsidRPr="00EA2F2F">
              <w:t xml:space="preserve"> </w:t>
            </w:r>
            <w:r w:rsidRPr="00EA2F2F">
              <w:t>streams are discharged to sea during drilling operations, ranging from one off or intermittent discharges (e.g. deck drainage, ballast</w:t>
            </w:r>
            <w:r w:rsidR="0090026F" w:rsidRPr="00EA2F2F">
              <w:t xml:space="preserve"> water</w:t>
            </w:r>
            <w:r w:rsidRPr="00EA2F2F">
              <w:t xml:space="preserve">, </w:t>
            </w:r>
            <w:r w:rsidR="0090026F" w:rsidRPr="00EA2F2F">
              <w:t>blowout preventor</w:t>
            </w:r>
            <w:r w:rsidRPr="00EA2F2F">
              <w:t xml:space="preserve"> fluid, hydraulic fluids, drilling fluids and cement slurry) to continuous discharges (e.g. cooling water and brine). </w:t>
            </w:r>
            <w:r w:rsidR="0090026F" w:rsidRPr="00EA2F2F">
              <w:t xml:space="preserve">Some discharges will occur at the seabed and others will occur at the sea surface. </w:t>
            </w:r>
          </w:p>
          <w:p w14:paraId="21F4F2AD" w14:textId="77777777" w:rsidR="00581B3E" w:rsidRPr="00EA2F2F" w:rsidRDefault="00D54C98" w:rsidP="00CD2FC6">
            <w:pPr>
              <w:pStyle w:val="Tabletext9"/>
              <w:cnfStyle w:val="000000010000" w:firstRow="0" w:lastRow="0" w:firstColumn="0" w:lastColumn="0" w:oddVBand="0" w:evenVBand="0" w:oddHBand="0" w:evenHBand="1" w:firstRowFirstColumn="0" w:firstRowLastColumn="0" w:lastRowFirstColumn="0" w:lastRowLastColumn="0"/>
            </w:pPr>
            <w:r w:rsidRPr="00EA2F2F">
              <w:t>All of t</w:t>
            </w:r>
            <w:r w:rsidR="00CD2FC6" w:rsidRPr="00EA2F2F">
              <w:t>hese are assessed in Table 7-3 to Table 7-9 in Section 7.1.3 of the EP</w:t>
            </w:r>
            <w:r w:rsidR="00297C10" w:rsidRPr="00EA2F2F">
              <w:t xml:space="preserve"> including the potential for cumulative </w:t>
            </w:r>
            <w:r w:rsidR="00581B3E" w:rsidRPr="00EA2F2F">
              <w:t>discharges</w:t>
            </w:r>
            <w:r w:rsidR="00297C10" w:rsidRPr="00EA2F2F">
              <w:t xml:space="preserve"> as a result of concurrent drilling activities</w:t>
            </w:r>
            <w:r w:rsidR="00581B3E" w:rsidRPr="00EA2F2F">
              <w:t xml:space="preserve">. </w:t>
            </w:r>
          </w:p>
          <w:p w14:paraId="717A0E95" w14:textId="43066B6D" w:rsidR="003A0BA8" w:rsidRPr="00EA2F2F" w:rsidRDefault="00581B3E" w:rsidP="00CD2FC6">
            <w:pPr>
              <w:pStyle w:val="Tabletext9"/>
              <w:cnfStyle w:val="000000010000" w:firstRow="0" w:lastRow="0" w:firstColumn="0" w:lastColumn="0" w:oddVBand="0" w:evenVBand="0" w:oddHBand="0" w:evenHBand="1" w:firstRowFirstColumn="0" w:firstRowLastColumn="0" w:lastRowFirstColumn="0" w:lastRowLastColumn="0"/>
            </w:pPr>
            <w:r>
              <w:t>Please note</w:t>
            </w:r>
            <w:r w:rsidR="00CD2FC6">
              <w:t xml:space="preserve"> that the discharge of </w:t>
            </w:r>
            <w:r w:rsidR="003A0BA8">
              <w:t>firefighting</w:t>
            </w:r>
            <w:r w:rsidR="00CD2FC6">
              <w:t xml:space="preserve"> foam </w:t>
            </w:r>
            <w:r w:rsidR="003A0BA8">
              <w:t xml:space="preserve">(the only fluorinated surfactant that could be used during the exploration drilling activity) </w:t>
            </w:r>
            <w:r w:rsidR="00CD2FC6">
              <w:t>would only occur in the event of an incident and is</w:t>
            </w:r>
            <w:r w:rsidR="00946FE4">
              <w:t xml:space="preserve"> regarded as</w:t>
            </w:r>
            <w:r w:rsidR="00CD2FC6">
              <w:t xml:space="preserve"> a safety critical</w:t>
            </w:r>
            <w:r w:rsidR="00946FE4">
              <w:t xml:space="preserve"> element whose</w:t>
            </w:r>
            <w:r w:rsidR="00CD2FC6">
              <w:t xml:space="preserve"> discharge cannot be eliminated. </w:t>
            </w:r>
          </w:p>
          <w:p w14:paraId="59DC18AB" w14:textId="42C02A23" w:rsidR="00047F48" w:rsidRDefault="00581B3E" w:rsidP="00CD2FC6">
            <w:pPr>
              <w:pStyle w:val="Tabletext9"/>
              <w:cnfStyle w:val="000000010000" w:firstRow="0" w:lastRow="0" w:firstColumn="0" w:lastColumn="0" w:oddVBand="0" w:evenVBand="0" w:oddHBand="0" w:evenHBand="1" w:firstRowFirstColumn="0" w:firstRowLastColumn="0" w:lastRowFirstColumn="0" w:lastRowLastColumn="0"/>
            </w:pPr>
            <w:r w:rsidRPr="00EA2F2F">
              <w:t>Section 7.1.3 of t</w:t>
            </w:r>
            <w:r w:rsidR="00CD2FC6" w:rsidRPr="00EA2F2F">
              <w:t xml:space="preserve">he </w:t>
            </w:r>
            <w:r w:rsidR="00297C10" w:rsidRPr="00EA2F2F">
              <w:t xml:space="preserve">EP has been amended </w:t>
            </w:r>
            <w:r w:rsidR="00D5194B">
              <w:t>to include a</w:t>
            </w:r>
            <w:r w:rsidR="00A05CF4">
              <w:t xml:space="preserve"> new subheading ‘</w:t>
            </w:r>
            <w:r w:rsidR="00146E85" w:rsidRPr="00146E85">
              <w:t>Cumulative</w:t>
            </w:r>
            <w:r w:rsidR="00EF09CE">
              <w:t xml:space="preserve"> and additive</w:t>
            </w:r>
            <w:r w:rsidR="00146E85" w:rsidRPr="00146E85">
              <w:t xml:space="preserve"> impacts from routine discharges to sea</w:t>
            </w:r>
            <w:r w:rsidR="00146E85">
              <w:t>’</w:t>
            </w:r>
            <w:r w:rsidR="00146E85" w:rsidRPr="00146E85">
              <w:t xml:space="preserve"> </w:t>
            </w:r>
            <w:r w:rsidR="00297C10" w:rsidRPr="00EA2F2F">
              <w:t xml:space="preserve">in response to this feedback to assess the </w:t>
            </w:r>
            <w:r w:rsidR="00CD2FC6" w:rsidRPr="00EA2F2F">
              <w:t xml:space="preserve">potential for cumulative </w:t>
            </w:r>
            <w:r w:rsidRPr="00EA2F2F">
              <w:t>and</w:t>
            </w:r>
            <w:r w:rsidR="00CD2FC6" w:rsidRPr="00EA2F2F">
              <w:t xml:space="preserve"> additive effects from multiple drilling discharges</w:t>
            </w:r>
            <w:r w:rsidRPr="00EA2F2F">
              <w:t xml:space="preserve">. </w:t>
            </w:r>
            <w:r w:rsidR="00CD2FC6" w:rsidRPr="00EA2F2F">
              <w:t xml:space="preserve"> </w:t>
            </w:r>
          </w:p>
          <w:p w14:paraId="07A8C846" w14:textId="76926CE8" w:rsidR="00F30E07" w:rsidRPr="00047F48" w:rsidRDefault="7461C5B2" w:rsidP="00CD2FC6">
            <w:pPr>
              <w:pStyle w:val="Tabletext9"/>
              <w:cnfStyle w:val="000000010000" w:firstRow="0" w:lastRow="0" w:firstColumn="0" w:lastColumn="0" w:oddVBand="0" w:evenVBand="0" w:oddHBand="0" w:evenHBand="1" w:firstRowFirstColumn="0" w:firstRowLastColumn="0" w:lastRowFirstColumn="0" w:lastRowLastColumn="0"/>
            </w:pPr>
            <w:r>
              <w:t xml:space="preserve">Organic surfactants proposed for use in drilling fluid formulations </w:t>
            </w:r>
            <w:r w:rsidR="00CD2FC6">
              <w:t xml:space="preserve">are selected in accordance with internationally recognised assessment guidelines which consider </w:t>
            </w:r>
            <w:r w:rsidR="00C607DB">
              <w:t>bioaccumulation</w:t>
            </w:r>
            <w:r w:rsidR="00CD2FC6">
              <w:t xml:space="preserve"> impacts to marine organisms and are</w:t>
            </w:r>
            <w:r w:rsidR="00C607DB">
              <w:t xml:space="preserve"> considered to be</w:t>
            </w:r>
            <w:r w:rsidR="00CD2FC6">
              <w:t xml:space="preserve"> least toxic to the environment.</w:t>
            </w:r>
          </w:p>
        </w:tc>
      </w:tr>
      <w:tr w:rsidR="00FB776D" w14:paraId="4BCD7DCF" w14:textId="77777777" w:rsidTr="70F9F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311726BC" w14:textId="4267983C" w:rsidR="00FB776D" w:rsidRDefault="00FB776D" w:rsidP="00FB776D">
            <w:pPr>
              <w:pStyle w:val="Tabletext9"/>
            </w:pPr>
            <w:r>
              <w:lastRenderedPageBreak/>
              <w:t>3</w:t>
            </w:r>
          </w:p>
        </w:tc>
        <w:tc>
          <w:tcPr>
            <w:tcW w:w="5685" w:type="dxa"/>
          </w:tcPr>
          <w:p w14:paraId="330825CB" w14:textId="77777777" w:rsidR="00130E5E" w:rsidRPr="00130E5E" w:rsidRDefault="00130E5E" w:rsidP="00130E5E">
            <w:pPr>
              <w:pStyle w:val="Tabletext9"/>
              <w:cnfStyle w:val="000000100000" w:firstRow="0" w:lastRow="0" w:firstColumn="0" w:lastColumn="0" w:oddVBand="0" w:evenVBand="0" w:oddHBand="1" w:evenHBand="0" w:firstRowFirstColumn="0" w:firstRowLastColumn="0" w:lastRowFirstColumn="0" w:lastRowLastColumn="0"/>
              <w:rPr>
                <w:b/>
                <w:bCs/>
              </w:rPr>
            </w:pPr>
            <w:r w:rsidRPr="00130E5E">
              <w:rPr>
                <w:b/>
                <w:bCs/>
              </w:rPr>
              <w:t>Matter:</w:t>
            </w:r>
          </w:p>
          <w:p w14:paraId="40D63137" w14:textId="77777777" w:rsidR="00FB776D" w:rsidRDefault="00FB776D" w:rsidP="00FB776D">
            <w:pPr>
              <w:pStyle w:val="Tabletext9"/>
              <w:cnfStyle w:val="000000100000" w:firstRow="0" w:lastRow="0" w:firstColumn="0" w:lastColumn="0" w:oddVBand="0" w:evenVBand="0" w:oddHBand="1" w:evenHBand="0" w:firstRowFirstColumn="0" w:firstRowLastColumn="0" w:lastRowFirstColumn="0" w:lastRowLastColumn="0"/>
            </w:pPr>
            <w:r>
              <w:t>Consideration of additional/alternative management controls to reduce impacts</w:t>
            </w:r>
          </w:p>
          <w:p w14:paraId="519464E7" w14:textId="77777777" w:rsidR="00130E5E" w:rsidRDefault="00130E5E" w:rsidP="00FB776D">
            <w:pPr>
              <w:pStyle w:val="Tabletext9"/>
              <w:cnfStyle w:val="000000100000" w:firstRow="0" w:lastRow="0" w:firstColumn="0" w:lastColumn="0" w:oddVBand="0" w:evenVBand="0" w:oddHBand="1" w:evenHBand="0" w:firstRowFirstColumn="0" w:firstRowLastColumn="0" w:lastRowFirstColumn="0" w:lastRowLastColumn="0"/>
              <w:rPr>
                <w:b/>
                <w:bCs/>
              </w:rPr>
            </w:pPr>
            <w:r>
              <w:rPr>
                <w:b/>
                <w:bCs/>
              </w:rPr>
              <w:t>Claim:</w:t>
            </w:r>
          </w:p>
          <w:p w14:paraId="4963763C" w14:textId="1773DA7A" w:rsidR="00552836" w:rsidRDefault="008A67E3" w:rsidP="00FB776D">
            <w:pPr>
              <w:pStyle w:val="Tabletext9"/>
              <w:cnfStyle w:val="000000100000" w:firstRow="0" w:lastRow="0" w:firstColumn="0" w:lastColumn="0" w:oddVBand="0" w:evenVBand="0" w:oddHBand="1" w:evenHBand="0" w:firstRowFirstColumn="0" w:firstRowLastColumn="0" w:lastRowFirstColumn="0" w:lastRowLastColumn="0"/>
            </w:pPr>
            <w:r w:rsidRPr="00D12172">
              <w:t>The drilling operations describe drilling and cementing of conductors. This activity typically involves discharge of cuttings, drilling fluids and cement at seabed. An alternative solution to install conductors by using a driving process would minimise disturbance to the seafloor and hence provide a superior water quality during these operations.</w:t>
            </w:r>
            <w:r>
              <w:t xml:space="preserve"> Therefore a</w:t>
            </w:r>
            <w:r w:rsidR="00552836" w:rsidRPr="00552836">
              <w:t>lternative options for installing conductors, such as installation by using a driving process, should be considered to reduce seabed disturbance and discharges.</w:t>
            </w:r>
          </w:p>
          <w:p w14:paraId="6035D94E" w14:textId="1E2D1B08" w:rsidR="00C903C6" w:rsidRPr="00552836" w:rsidRDefault="00C903C6" w:rsidP="00FB776D">
            <w:pPr>
              <w:pStyle w:val="Tabletext9"/>
              <w:cnfStyle w:val="000000100000" w:firstRow="0" w:lastRow="0" w:firstColumn="0" w:lastColumn="0" w:oddVBand="0" w:evenVBand="0" w:oddHBand="1" w:evenHBand="0" w:firstRowFirstColumn="0" w:firstRowLastColumn="0" w:lastRowFirstColumn="0" w:lastRowLastColumn="0"/>
            </w:pPr>
            <w:r w:rsidRPr="00BD02B6">
              <w:t xml:space="preserve">Note: </w:t>
            </w:r>
            <w:r>
              <w:t>One</w:t>
            </w:r>
            <w:r w:rsidRPr="00BD02B6">
              <w:t xml:space="preserve"> </w:t>
            </w:r>
            <w:r w:rsidR="002F4044">
              <w:t>comment</w:t>
            </w:r>
            <w:r w:rsidRPr="00BD02B6">
              <w:t xml:space="preserve"> </w:t>
            </w:r>
            <w:r w:rsidR="0075043F">
              <w:t xml:space="preserve">was </w:t>
            </w:r>
            <w:r w:rsidRPr="00BD02B6">
              <w:t>received in relation to this matter</w:t>
            </w:r>
            <w:r w:rsidR="00961150">
              <w:t>.</w:t>
            </w:r>
          </w:p>
        </w:tc>
        <w:tc>
          <w:tcPr>
            <w:tcW w:w="7761" w:type="dxa"/>
          </w:tcPr>
          <w:p w14:paraId="602D2C45" w14:textId="3C0446CD" w:rsidR="008A67E3" w:rsidRDefault="008A67E3" w:rsidP="008A67E3">
            <w:pPr>
              <w:pStyle w:val="Tabletext9"/>
              <w:cnfStyle w:val="000000100000" w:firstRow="0" w:lastRow="0" w:firstColumn="0" w:lastColumn="0" w:oddVBand="0" w:evenVBand="0" w:oddHBand="1" w:evenHBand="0" w:firstRowFirstColumn="0" w:firstRowLastColumn="0" w:lastRowFirstColumn="0" w:lastRowLastColumn="0"/>
            </w:pPr>
            <w:r w:rsidRPr="00046DF5">
              <w:t>Driven installation of the 30</w:t>
            </w:r>
            <w:r w:rsidR="00156FC7">
              <w:t xml:space="preserve"> inch</w:t>
            </w:r>
            <w:r w:rsidR="00156FC7" w:rsidRPr="00046DF5">
              <w:t xml:space="preserve"> </w:t>
            </w:r>
            <w:r w:rsidRPr="00046DF5">
              <w:t xml:space="preserve">well conductors has been identified </w:t>
            </w:r>
            <w:r w:rsidR="000E7594">
              <w:t xml:space="preserve">by INPEX </w:t>
            </w:r>
            <w:r w:rsidRPr="00046DF5">
              <w:t xml:space="preserve">as an opportunity to minimise the disturbance of the seabed in the vicinity of the well and eliminate a cement job with cement returns to the mudline which </w:t>
            </w:r>
            <w:r>
              <w:t xml:space="preserve">may </w:t>
            </w:r>
            <w:r w:rsidRPr="00046DF5">
              <w:t>have short term</w:t>
            </w:r>
            <w:r>
              <w:t>, temporary</w:t>
            </w:r>
            <w:r w:rsidRPr="00046DF5">
              <w:t xml:space="preserve"> impacts on water quality. The substitution of driven for drilled and cemented methods of installation does not materially affect the well construction process but is dependent on suitable shallow soils at the well location which will be confirmed at the time of the </w:t>
            </w:r>
            <w:r>
              <w:t>g</w:t>
            </w:r>
            <w:r w:rsidRPr="00046DF5">
              <w:t xml:space="preserve">eotechnical investigation (site survey). </w:t>
            </w:r>
          </w:p>
          <w:p w14:paraId="6E2E21F5" w14:textId="1BAE39C4" w:rsidR="00927333" w:rsidRDefault="00677F86" w:rsidP="008A67E3">
            <w:pPr>
              <w:pStyle w:val="Tabletext9"/>
              <w:cnfStyle w:val="000000100000" w:firstRow="0" w:lastRow="0" w:firstColumn="0" w:lastColumn="0" w:oddVBand="0" w:evenVBand="0" w:oddHBand="1" w:evenHBand="0" w:firstRowFirstColumn="0" w:firstRowLastColumn="0" w:lastRowFirstColumn="0" w:lastRowLastColumn="0"/>
            </w:pPr>
            <w:r>
              <w:t>Other potential environmental</w:t>
            </w:r>
            <w:r w:rsidR="008A67E3">
              <w:t xml:space="preserve"> impacts from the alternative </w:t>
            </w:r>
            <w:r w:rsidR="00232696">
              <w:t>option for conductor installation (driven rather than drilled)</w:t>
            </w:r>
            <w:r w:rsidR="008A67E3">
              <w:t xml:space="preserve"> </w:t>
            </w:r>
            <w:r>
              <w:t xml:space="preserve">may include underwater noise generated by the </w:t>
            </w:r>
            <w:r w:rsidR="00927333">
              <w:t>equipment and process. Th</w:t>
            </w:r>
            <w:r w:rsidR="004A1E2B">
              <w:t>e</w:t>
            </w:r>
            <w:r w:rsidR="00927333">
              <w:t>se</w:t>
            </w:r>
            <w:r w:rsidR="008A67E3">
              <w:t xml:space="preserve"> are expected to be </w:t>
            </w:r>
            <w:r w:rsidR="007121D6">
              <w:t>short-</w:t>
            </w:r>
            <w:r w:rsidR="008A67E3">
              <w:t xml:space="preserve">term, </w:t>
            </w:r>
            <w:r w:rsidR="0023770F">
              <w:t>in</w:t>
            </w:r>
            <w:r w:rsidR="008A67E3">
              <w:t xml:space="preserve"> the order of </w:t>
            </w:r>
            <w:r w:rsidR="00D67E29">
              <w:t>4</w:t>
            </w:r>
            <w:r w:rsidR="008A67E3">
              <w:t xml:space="preserve"> hours per well and have been assessed as not being significant </w:t>
            </w:r>
            <w:r w:rsidR="0023770F">
              <w:t>in</w:t>
            </w:r>
            <w:r w:rsidR="008A67E3">
              <w:t xml:space="preserve"> comparison to</w:t>
            </w:r>
            <w:r w:rsidR="0023770F">
              <w:t xml:space="preserve"> other </w:t>
            </w:r>
            <w:r w:rsidR="008F5230">
              <w:t xml:space="preserve">noise generating </w:t>
            </w:r>
            <w:r w:rsidR="0023770F">
              <w:t xml:space="preserve">activities </w:t>
            </w:r>
            <w:r w:rsidR="008F5230">
              <w:t>assessed in the EP</w:t>
            </w:r>
            <w:r w:rsidR="008A67E3">
              <w:t xml:space="preserve"> </w:t>
            </w:r>
            <w:r w:rsidR="008F5230">
              <w:t xml:space="preserve">such as </w:t>
            </w:r>
            <w:r w:rsidR="008A67E3">
              <w:t xml:space="preserve">the proposed </w:t>
            </w:r>
            <w:r w:rsidR="00757E38">
              <w:t>vertical seismic profile</w:t>
            </w:r>
            <w:r w:rsidR="008A67E3">
              <w:t xml:space="preserve"> acquisition</w:t>
            </w:r>
            <w:r w:rsidR="008F5230">
              <w:t xml:space="preserve">. The </w:t>
            </w:r>
            <w:r w:rsidR="00ED6150">
              <w:t>alternative conductor installation method produces sound</w:t>
            </w:r>
            <w:r w:rsidR="00A333B3">
              <w:t xml:space="preserve"> output levels</w:t>
            </w:r>
            <w:r w:rsidR="00ED6150">
              <w:t xml:space="preserve"> of</w:t>
            </w:r>
            <w:r w:rsidR="008A67E3">
              <w:t xml:space="preserve"> lower intensity and </w:t>
            </w:r>
            <w:r w:rsidR="00ED6150">
              <w:t xml:space="preserve">the activity is </w:t>
            </w:r>
            <w:r w:rsidR="008A67E3">
              <w:t xml:space="preserve">shorter in duration. </w:t>
            </w:r>
          </w:p>
          <w:p w14:paraId="5600DC98" w14:textId="12926C7C" w:rsidR="00FB776D" w:rsidRDefault="008A67E3" w:rsidP="008A67E3">
            <w:pPr>
              <w:pStyle w:val="Tabletext9"/>
              <w:cnfStyle w:val="000000100000" w:firstRow="0" w:lastRow="0" w:firstColumn="0" w:lastColumn="0" w:oddVBand="0" w:evenVBand="0" w:oddHBand="1" w:evenHBand="0" w:firstRowFirstColumn="0" w:firstRowLastColumn="0" w:lastRowFirstColumn="0" w:lastRowLastColumn="0"/>
            </w:pPr>
            <w:r>
              <w:t>Should th</w:t>
            </w:r>
            <w:r w:rsidR="00927333">
              <w:t xml:space="preserve">e </w:t>
            </w:r>
            <w:r>
              <w:t xml:space="preserve">opportunity </w:t>
            </w:r>
            <w:r w:rsidR="00927333">
              <w:t xml:space="preserve">to </w:t>
            </w:r>
            <w:r w:rsidR="00D078DC">
              <w:t xml:space="preserve">install the conductor using a driven method </w:t>
            </w:r>
            <w:r>
              <w:t>not be realised</w:t>
            </w:r>
            <w:r w:rsidR="4DF759D8">
              <w:t>,</w:t>
            </w:r>
            <w:r>
              <w:t xml:space="preserve"> the base case</w:t>
            </w:r>
            <w:r w:rsidR="4814F596">
              <w:t xml:space="preserve"> method of</w:t>
            </w:r>
            <w:r>
              <w:t xml:space="preserve"> drilled and cemented installation </w:t>
            </w:r>
            <w:r w:rsidR="2F1CC0AA">
              <w:t xml:space="preserve">will be utilised </w:t>
            </w:r>
            <w:r w:rsidR="00D078DC">
              <w:t>instead</w:t>
            </w:r>
            <w:r w:rsidR="009F5E20">
              <w:t>.</w:t>
            </w:r>
          </w:p>
          <w:p w14:paraId="0CDE6B77" w14:textId="49674F3B" w:rsidR="009F5E20" w:rsidRPr="004B22EA" w:rsidRDefault="00207968" w:rsidP="70F9F10F">
            <w:pPr>
              <w:pStyle w:val="Tabletext9"/>
              <w:cnfStyle w:val="000000100000" w:firstRow="0" w:lastRow="0" w:firstColumn="0" w:lastColumn="0" w:oddVBand="0" w:evenVBand="0" w:oddHBand="1" w:evenHBand="0" w:firstRowFirstColumn="0" w:firstRowLastColumn="0" w:lastRowFirstColumn="0" w:lastRowLastColumn="0"/>
              <w:rPr>
                <w:color w:val="FF0000"/>
              </w:rPr>
            </w:pPr>
            <w:r>
              <w:t xml:space="preserve">As a result of this feedback, </w:t>
            </w:r>
            <w:r w:rsidR="00A333B3">
              <w:t xml:space="preserve">Section </w:t>
            </w:r>
            <w:r w:rsidR="00B12853">
              <w:t xml:space="preserve">3.4.1, Table 3-1 and </w:t>
            </w:r>
            <w:r>
              <w:t xml:space="preserve">Section 7.3 (Table 7-11) of the EP has been amended to include the option to </w:t>
            </w:r>
            <w:r w:rsidR="004B22EA">
              <w:t>install the conductor using a driven method.</w:t>
            </w:r>
          </w:p>
        </w:tc>
      </w:tr>
      <w:tr w:rsidR="00664624" w14:paraId="4EA71EC5" w14:textId="77777777" w:rsidTr="70F9F1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1437FA66" w14:textId="1B480FA3" w:rsidR="00664624" w:rsidRDefault="00664624" w:rsidP="00664624">
            <w:pPr>
              <w:pStyle w:val="Tabletext9"/>
            </w:pPr>
            <w:r>
              <w:t>4</w:t>
            </w:r>
          </w:p>
        </w:tc>
        <w:tc>
          <w:tcPr>
            <w:tcW w:w="5685" w:type="dxa"/>
          </w:tcPr>
          <w:p w14:paraId="742C0607" w14:textId="77777777" w:rsidR="00130E5E" w:rsidRPr="00130E5E" w:rsidRDefault="00130E5E" w:rsidP="00130E5E">
            <w:pPr>
              <w:pStyle w:val="Tabletext9"/>
              <w:cnfStyle w:val="000000010000" w:firstRow="0" w:lastRow="0" w:firstColumn="0" w:lastColumn="0" w:oddVBand="0" w:evenVBand="0" w:oddHBand="0" w:evenHBand="1" w:firstRowFirstColumn="0" w:firstRowLastColumn="0" w:lastRowFirstColumn="0" w:lastRowLastColumn="0"/>
              <w:rPr>
                <w:b/>
                <w:bCs/>
              </w:rPr>
            </w:pPr>
            <w:r w:rsidRPr="00130E5E">
              <w:rPr>
                <w:b/>
                <w:bCs/>
              </w:rPr>
              <w:t>Matter:</w:t>
            </w:r>
          </w:p>
          <w:p w14:paraId="4DC59F5B" w14:textId="77777777" w:rsidR="00664624" w:rsidRDefault="00664624" w:rsidP="00664624">
            <w:pPr>
              <w:pStyle w:val="Tabletext9"/>
              <w:cnfStyle w:val="000000010000" w:firstRow="0" w:lastRow="0" w:firstColumn="0" w:lastColumn="0" w:oddVBand="0" w:evenVBand="0" w:oddHBand="0" w:evenHBand="1" w:firstRowFirstColumn="0" w:firstRowLastColumn="0" w:lastRowFirstColumn="0" w:lastRowLastColumn="0"/>
            </w:pPr>
            <w:r>
              <w:t>Impacts to the marine environment and marine protected areas</w:t>
            </w:r>
            <w:r w:rsidR="00130E5E">
              <w:t>.</w:t>
            </w:r>
          </w:p>
          <w:p w14:paraId="678F5BE6" w14:textId="77777777" w:rsidR="00130E5E" w:rsidRDefault="00130E5E" w:rsidP="00664624">
            <w:pPr>
              <w:pStyle w:val="Tabletext9"/>
              <w:cnfStyle w:val="000000010000" w:firstRow="0" w:lastRow="0" w:firstColumn="0" w:lastColumn="0" w:oddVBand="0" w:evenVBand="0" w:oddHBand="0" w:evenHBand="1" w:firstRowFirstColumn="0" w:firstRowLastColumn="0" w:lastRowFirstColumn="0" w:lastRowLastColumn="0"/>
              <w:rPr>
                <w:b/>
                <w:bCs/>
              </w:rPr>
            </w:pPr>
            <w:r>
              <w:rPr>
                <w:b/>
                <w:bCs/>
              </w:rPr>
              <w:t>Claim:</w:t>
            </w:r>
          </w:p>
          <w:p w14:paraId="19EFF858" w14:textId="77777777" w:rsidR="0083206D" w:rsidRDefault="000B01CB" w:rsidP="00664624">
            <w:pPr>
              <w:pStyle w:val="Tabletext9"/>
              <w:cnfStyle w:val="000000010000" w:firstRow="0" w:lastRow="0" w:firstColumn="0" w:lastColumn="0" w:oddVBand="0" w:evenVBand="0" w:oddHBand="0" w:evenHBand="1" w:firstRowFirstColumn="0" w:firstRowLastColumn="0" w:lastRowFirstColumn="0" w:lastRowLastColumn="0"/>
            </w:pPr>
            <w:r w:rsidRPr="000B01CB">
              <w:t>The exploration drilling activities have the ability to impact on the environment including marine impacts</w:t>
            </w:r>
            <w:r w:rsidR="0083206D">
              <w:t xml:space="preserve"> and impacts to marine protected areas</w:t>
            </w:r>
            <w:r w:rsidRPr="000B01CB">
              <w:t>.</w:t>
            </w:r>
            <w:r w:rsidR="00EE7E59">
              <w:t xml:space="preserve"> </w:t>
            </w:r>
          </w:p>
          <w:p w14:paraId="0C7346AE" w14:textId="24B39F38" w:rsidR="000B01CB" w:rsidRPr="000B01CB" w:rsidRDefault="00EE7E59" w:rsidP="00664624">
            <w:pPr>
              <w:pStyle w:val="Tabletext9"/>
              <w:cnfStyle w:val="000000010000" w:firstRow="0" w:lastRow="0" w:firstColumn="0" w:lastColumn="0" w:oddVBand="0" w:evenVBand="0" w:oddHBand="0" w:evenHBand="1" w:firstRowFirstColumn="0" w:firstRowLastColumn="0" w:lastRowFirstColumn="0" w:lastRowLastColumn="0"/>
            </w:pPr>
            <w:r w:rsidRPr="00EE7E59">
              <w:lastRenderedPageBreak/>
              <w:t>The activities have the potential to result in direct and indirect impacts to ecologically significant offshore, nearshore and onshore ecological communities, including impacts to coral reefs, seagrass communities, mangroves, migratory birds, sea turtles, dugongs, whales, diverse finfish communities.</w:t>
            </w:r>
          </w:p>
          <w:p w14:paraId="428DDCD8" w14:textId="74EF6A66" w:rsidR="0075043F" w:rsidRPr="004B43F5" w:rsidRDefault="00811D78" w:rsidP="00664624">
            <w:pPr>
              <w:pStyle w:val="Tabletext9"/>
              <w:cnfStyle w:val="000000010000" w:firstRow="0" w:lastRow="0" w:firstColumn="0" w:lastColumn="0" w:oddVBand="0" w:evenVBand="0" w:oddHBand="0" w:evenHBand="1" w:firstRowFirstColumn="0" w:firstRowLastColumn="0" w:lastRowFirstColumn="0" w:lastRowLastColumn="0"/>
              <w:rPr>
                <w:b/>
                <w:bCs/>
              </w:rPr>
            </w:pPr>
            <w:r w:rsidRPr="00BD02B6">
              <w:t xml:space="preserve">Note: </w:t>
            </w:r>
            <w:r>
              <w:t>Four</w:t>
            </w:r>
            <w:r w:rsidRPr="00BD02B6">
              <w:t xml:space="preserve"> comments were made in relation to this matter</w:t>
            </w:r>
            <w:r>
              <w:t>.</w:t>
            </w:r>
          </w:p>
        </w:tc>
        <w:tc>
          <w:tcPr>
            <w:tcW w:w="7761" w:type="dxa"/>
          </w:tcPr>
          <w:p w14:paraId="32890F65" w14:textId="259C6BE8" w:rsidR="0010316B" w:rsidRPr="0010316B" w:rsidRDefault="0010316B" w:rsidP="0010316B">
            <w:pPr>
              <w:pStyle w:val="Tabletext9"/>
              <w:cnfStyle w:val="000000010000" w:firstRow="0" w:lastRow="0" w:firstColumn="0" w:lastColumn="0" w:oddVBand="0" w:evenVBand="0" w:oddHBand="0" w:evenHBand="1" w:firstRowFirstColumn="0" w:firstRowLastColumn="0" w:lastRowFirstColumn="0" w:lastRowLastColumn="0"/>
            </w:pPr>
            <w:r w:rsidRPr="0010316B">
              <w:lastRenderedPageBreak/>
              <w:t xml:space="preserve">INPEX agrees with </w:t>
            </w:r>
            <w:r w:rsidR="004831B1">
              <w:t>commenter</w:t>
            </w:r>
            <w:r w:rsidRPr="0010316B">
              <w:t xml:space="preserve"> opinions that the activity has the potential to result in both direct and indirect impacts to ecologically significant offshore, nearshore and onshore ecological communities. Therefore, in accordance with Division 2.3, Regulation 13(5) of the OPGGS (E) Regulations 2009, an environmental risk assessment was undertaken to evaluate impacts and risks arising from the proposed activity using </w:t>
            </w:r>
            <w:r w:rsidR="00C510C9">
              <w:t>the</w:t>
            </w:r>
            <w:r w:rsidRPr="0010316B">
              <w:t xml:space="preserve"> methodology described in Section 6 of the EP, that aligns to International Standards and best practice. </w:t>
            </w:r>
          </w:p>
          <w:p w14:paraId="4F2069C3" w14:textId="77777777" w:rsidR="0010316B" w:rsidRPr="0010316B" w:rsidRDefault="0010316B" w:rsidP="0010316B">
            <w:pPr>
              <w:pStyle w:val="Tabletext9"/>
              <w:cnfStyle w:val="000000010000" w:firstRow="0" w:lastRow="0" w:firstColumn="0" w:lastColumn="0" w:oddVBand="0" w:evenVBand="0" w:oddHBand="0" w:evenHBand="1" w:firstRowFirstColumn="0" w:firstRowLastColumn="0" w:lastRowFirstColumn="0" w:lastRowLastColumn="0"/>
            </w:pPr>
            <w:r>
              <w:lastRenderedPageBreak/>
              <w:t>Potential impacts and risks to identified values and sensitivities have been assessed in Section 7 and 8 of the EP, where control measures and possible alternatives are identified to prevent or mitigate threats. If controls are judged during the impact and risk evaluation as inadequate to manage the identified threat, additional safeguards or controls are proposed.</w:t>
            </w:r>
          </w:p>
          <w:p w14:paraId="1F968752" w14:textId="77777777" w:rsidR="00664624" w:rsidRDefault="0010316B" w:rsidP="0010316B">
            <w:pPr>
              <w:pStyle w:val="Tabletext9"/>
              <w:cnfStyle w:val="000000010000" w:firstRow="0" w:lastRow="0" w:firstColumn="0" w:lastColumn="0" w:oddVBand="0" w:evenVBand="0" w:oddHBand="0" w:evenHBand="1" w:firstRowFirstColumn="0" w:firstRowLastColumn="0" w:lastRowFirstColumn="0" w:lastRowLastColumn="0"/>
            </w:pPr>
            <w:r w:rsidRPr="0010316B">
              <w:t>Potential environmental impacts and risks are only deemed acceptable once all reasonably practicable alternatives and additional measures have been taken to reduce the potential impacts and risks to as low as reasonably practicable (ALARP).</w:t>
            </w:r>
          </w:p>
          <w:p w14:paraId="575E1060" w14:textId="35623C50" w:rsidR="00B0507D" w:rsidRPr="00B0507D" w:rsidRDefault="00B0507D" w:rsidP="0010316B">
            <w:pPr>
              <w:pStyle w:val="Tabletext9"/>
              <w:cnfStyle w:val="000000010000" w:firstRow="0" w:lastRow="0" w:firstColumn="0" w:lastColumn="0" w:oddVBand="0" w:evenVBand="0" w:oddHBand="0" w:evenHBand="1" w:firstRowFirstColumn="0" w:firstRowLastColumn="0" w:lastRowFirstColumn="0" w:lastRowLastColumn="0"/>
            </w:pPr>
            <w:r w:rsidRPr="00265D19">
              <w:t>No changes have been made to the EP.</w:t>
            </w:r>
          </w:p>
        </w:tc>
      </w:tr>
      <w:tr w:rsidR="00664624" w14:paraId="3C142AA0" w14:textId="77777777" w:rsidTr="70F9F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64A3D0C4" w14:textId="368CB1E3" w:rsidR="00664624" w:rsidRDefault="00664624" w:rsidP="00664624">
            <w:pPr>
              <w:pStyle w:val="Tabletext9"/>
            </w:pPr>
            <w:r>
              <w:lastRenderedPageBreak/>
              <w:t>5</w:t>
            </w:r>
          </w:p>
        </w:tc>
        <w:tc>
          <w:tcPr>
            <w:tcW w:w="5685" w:type="dxa"/>
          </w:tcPr>
          <w:p w14:paraId="04C42542" w14:textId="77777777" w:rsidR="00130E5E" w:rsidRPr="00130E5E" w:rsidRDefault="00130E5E" w:rsidP="00130E5E">
            <w:pPr>
              <w:pStyle w:val="Tabletext9"/>
              <w:cnfStyle w:val="000000100000" w:firstRow="0" w:lastRow="0" w:firstColumn="0" w:lastColumn="0" w:oddVBand="0" w:evenVBand="0" w:oddHBand="1" w:evenHBand="0" w:firstRowFirstColumn="0" w:firstRowLastColumn="0" w:lastRowFirstColumn="0" w:lastRowLastColumn="0"/>
              <w:rPr>
                <w:b/>
                <w:bCs/>
              </w:rPr>
            </w:pPr>
            <w:r w:rsidRPr="00130E5E">
              <w:rPr>
                <w:b/>
                <w:bCs/>
              </w:rPr>
              <w:t>Matter:</w:t>
            </w:r>
          </w:p>
          <w:p w14:paraId="1A38A707" w14:textId="77777777" w:rsidR="00664624" w:rsidRDefault="00664624" w:rsidP="00664624">
            <w:pPr>
              <w:pStyle w:val="Tabletext9"/>
              <w:cnfStyle w:val="000000100000" w:firstRow="0" w:lastRow="0" w:firstColumn="0" w:lastColumn="0" w:oddVBand="0" w:evenVBand="0" w:oddHBand="1" w:evenHBand="0" w:firstRowFirstColumn="0" w:firstRowLastColumn="0" w:lastRowFirstColumn="0" w:lastRowLastColumn="0"/>
            </w:pPr>
            <w:r>
              <w:t>Consultation process and identification of relevant persons</w:t>
            </w:r>
          </w:p>
          <w:p w14:paraId="7491FF68" w14:textId="608E6C1F" w:rsidR="00130E5E" w:rsidRDefault="00130E5E" w:rsidP="00664624">
            <w:pPr>
              <w:pStyle w:val="Tabletext9"/>
              <w:cnfStyle w:val="000000100000" w:firstRow="0" w:lastRow="0" w:firstColumn="0" w:lastColumn="0" w:oddVBand="0" w:evenVBand="0" w:oddHBand="1" w:evenHBand="0" w:firstRowFirstColumn="0" w:firstRowLastColumn="0" w:lastRowFirstColumn="0" w:lastRowLastColumn="0"/>
              <w:rPr>
                <w:b/>
                <w:bCs/>
              </w:rPr>
            </w:pPr>
            <w:r>
              <w:rPr>
                <w:b/>
                <w:bCs/>
              </w:rPr>
              <w:t>Claim</w:t>
            </w:r>
            <w:r w:rsidR="00EA1DFD">
              <w:rPr>
                <w:b/>
                <w:bCs/>
              </w:rPr>
              <w:t>s</w:t>
            </w:r>
            <w:r>
              <w:rPr>
                <w:b/>
                <w:bCs/>
              </w:rPr>
              <w:t>:</w:t>
            </w:r>
          </w:p>
          <w:p w14:paraId="45334B11" w14:textId="77777777" w:rsidR="00253D78" w:rsidRDefault="005E15D0" w:rsidP="005E15D0">
            <w:pPr>
              <w:pStyle w:val="Tabletext9"/>
              <w:cnfStyle w:val="000000100000" w:firstRow="0" w:lastRow="0" w:firstColumn="0" w:lastColumn="0" w:oddVBand="0" w:evenVBand="0" w:oddHBand="1" w:evenHBand="0" w:firstRowFirstColumn="0" w:firstRowLastColumn="0" w:lastRowFirstColumn="0" w:lastRowLastColumn="0"/>
            </w:pPr>
            <w:r w:rsidRPr="005E15D0">
              <w:t>Claim was made that INPEX inappropriately applied the IAP2 consultation criteria by removing some key components of the IAP2, thus reducing its responsibilities to meaningfully consult with</w:t>
            </w:r>
            <w:r w:rsidR="00253D78">
              <w:t xml:space="preserve"> </w:t>
            </w:r>
            <w:r w:rsidRPr="005E15D0">
              <w:t xml:space="preserve">stakeholders. </w:t>
            </w:r>
          </w:p>
          <w:p w14:paraId="508D768E" w14:textId="6F71170E" w:rsidR="00EA1DFD" w:rsidRDefault="00EA1DFD" w:rsidP="005E15D0">
            <w:pPr>
              <w:pStyle w:val="Tabletext9"/>
              <w:cnfStyle w:val="000000100000" w:firstRow="0" w:lastRow="0" w:firstColumn="0" w:lastColumn="0" w:oddVBand="0" w:evenVBand="0" w:oddHBand="1" w:evenHBand="0" w:firstRowFirstColumn="0" w:firstRowLastColumn="0" w:lastRowFirstColumn="0" w:lastRowLastColumn="0"/>
            </w:pPr>
            <w:r w:rsidRPr="00EA1DFD">
              <w:t>Consultation with a much wider group of "relevant persons" is required based on the location of the EMBA and PEZ, specific example of such relevant persons were traditional owners.</w:t>
            </w:r>
          </w:p>
          <w:p w14:paraId="12C926A3" w14:textId="7396C0DD" w:rsidR="00EA1DFD" w:rsidRDefault="00EA1DFD" w:rsidP="005E15D0">
            <w:pPr>
              <w:pStyle w:val="Tabletext9"/>
              <w:cnfStyle w:val="000000100000" w:firstRow="0" w:lastRow="0" w:firstColumn="0" w:lastColumn="0" w:oddVBand="0" w:evenVBand="0" w:oddHBand="1" w:evenHBand="0" w:firstRowFirstColumn="0" w:firstRowLastColumn="0" w:lastRowFirstColumn="0" w:lastRowLastColumn="0"/>
            </w:pPr>
            <w:r>
              <w:t>Several commen</w:t>
            </w:r>
            <w:r w:rsidR="00905B01">
              <w:t>ters identified themselves as relevant persons under Regulation 11(A) of the OPGGS E Regulations.</w:t>
            </w:r>
          </w:p>
          <w:p w14:paraId="7B8CEEA7" w14:textId="6786F5C3" w:rsidR="007079D7" w:rsidRPr="004B43F5" w:rsidRDefault="007079D7" w:rsidP="00664624">
            <w:pPr>
              <w:pStyle w:val="Tabletext9"/>
              <w:cnfStyle w:val="000000100000" w:firstRow="0" w:lastRow="0" w:firstColumn="0" w:lastColumn="0" w:oddVBand="0" w:evenVBand="0" w:oddHBand="1" w:evenHBand="0" w:firstRowFirstColumn="0" w:firstRowLastColumn="0" w:lastRowFirstColumn="0" w:lastRowLastColumn="0"/>
              <w:rPr>
                <w:b/>
                <w:bCs/>
              </w:rPr>
            </w:pPr>
            <w:r w:rsidRPr="00BD02B6">
              <w:t xml:space="preserve">Note: </w:t>
            </w:r>
            <w:r>
              <w:t>Five</w:t>
            </w:r>
            <w:r w:rsidRPr="00BD02B6">
              <w:t xml:space="preserve"> comments were made in relation to this matter</w:t>
            </w:r>
            <w:r>
              <w:t>.</w:t>
            </w:r>
          </w:p>
        </w:tc>
        <w:tc>
          <w:tcPr>
            <w:tcW w:w="7761" w:type="dxa"/>
          </w:tcPr>
          <w:p w14:paraId="420A4454" w14:textId="7B8E4F5B" w:rsidR="001025B3" w:rsidRPr="00505222" w:rsidRDefault="00722044" w:rsidP="00962A8D">
            <w:pPr>
              <w:pStyle w:val="Tabletext9"/>
              <w:cnfStyle w:val="000000100000" w:firstRow="0" w:lastRow="0" w:firstColumn="0" w:lastColumn="0" w:oddVBand="0" w:evenVBand="0" w:oddHBand="1" w:evenHBand="0" w:firstRowFirstColumn="0" w:firstRowLastColumn="0" w:lastRowFirstColumn="0" w:lastRowLastColumn="0"/>
            </w:pPr>
            <w:r w:rsidRPr="00505222">
              <w:t xml:space="preserve">Following the </w:t>
            </w:r>
            <w:r w:rsidR="001025B3" w:rsidRPr="00505222">
              <w:t xml:space="preserve">appeal decision of the </w:t>
            </w:r>
            <w:r w:rsidRPr="00505222">
              <w:t xml:space="preserve">Federal Court of Australia in Santos NA Barossa Pty Ltd v </w:t>
            </w:r>
            <w:proofErr w:type="spellStart"/>
            <w:r w:rsidRPr="00505222">
              <w:t>Tipakalippa</w:t>
            </w:r>
            <w:proofErr w:type="spellEnd"/>
            <w:r w:rsidRPr="00505222">
              <w:t xml:space="preserve"> [2022] FCAFC 193 on 02 December 2022, </w:t>
            </w:r>
            <w:r w:rsidR="001025B3" w:rsidRPr="00505222">
              <w:t>and in accordance with the NOPSEMA consultation guidance published</w:t>
            </w:r>
            <w:r w:rsidR="00222334" w:rsidRPr="00505222">
              <w:t xml:space="preserve"> on 15 December 2022, INPEX</w:t>
            </w:r>
            <w:r w:rsidR="000541CA" w:rsidRPr="00505222">
              <w:t xml:space="preserve"> is undertaking further identification and consultation with relevant persons.</w:t>
            </w:r>
          </w:p>
          <w:p w14:paraId="51ACE77B" w14:textId="77777777" w:rsidR="00344FC2" w:rsidRDefault="00344FC2" w:rsidP="00962A8D">
            <w:pPr>
              <w:pStyle w:val="Tabletext9"/>
              <w:cnfStyle w:val="000000100000" w:firstRow="0" w:lastRow="0" w:firstColumn="0" w:lastColumn="0" w:oddVBand="0" w:evenVBand="0" w:oddHBand="1" w:evenHBand="0" w:firstRowFirstColumn="0" w:firstRowLastColumn="0" w:lastRowFirstColumn="0" w:lastRowLastColumn="0"/>
            </w:pPr>
            <w:r w:rsidRPr="00EA20B5">
              <w:t xml:space="preserve">Two commenters </w:t>
            </w:r>
            <w:r>
              <w:t>and another organisation representing a relevant person</w:t>
            </w:r>
            <w:r w:rsidRPr="00EA20B5">
              <w:t xml:space="preserve"> identified themselves as relevant persons in the public comment period and INPEX has initiated further consultation with them.</w:t>
            </w:r>
            <w:r>
              <w:t xml:space="preserve"> </w:t>
            </w:r>
          </w:p>
          <w:p w14:paraId="71442069" w14:textId="3313EDDB" w:rsidR="00962A8D" w:rsidRPr="00EA20B5" w:rsidRDefault="003034F0" w:rsidP="00962A8D">
            <w:pPr>
              <w:pStyle w:val="Tabletext9"/>
              <w:cnfStyle w:val="000000100000" w:firstRow="0" w:lastRow="0" w:firstColumn="0" w:lastColumn="0" w:oddVBand="0" w:evenVBand="0" w:oddHBand="1" w:evenHBand="0" w:firstRowFirstColumn="0" w:firstRowLastColumn="0" w:lastRowFirstColumn="0" w:lastRowLastColumn="0"/>
            </w:pPr>
            <w:r w:rsidRPr="00505222">
              <w:t xml:space="preserve">Section 5 of the EP has been rewritten to reflect the </w:t>
            </w:r>
            <w:r w:rsidR="00505222">
              <w:t xml:space="preserve">revised INPEX </w:t>
            </w:r>
            <w:r w:rsidRPr="00505222">
              <w:t xml:space="preserve">methodology used to identify relevant persons and undertake appropriate and </w:t>
            </w:r>
            <w:r w:rsidRPr="00EA20B5">
              <w:t xml:space="preserve">meaningful consultation. The outcome of the additional </w:t>
            </w:r>
            <w:r w:rsidR="000B007D" w:rsidRPr="00EA20B5">
              <w:t xml:space="preserve">and ongoing </w:t>
            </w:r>
            <w:r w:rsidRPr="00EA20B5">
              <w:t>consultation</w:t>
            </w:r>
            <w:r w:rsidR="000B007D" w:rsidRPr="00EA20B5">
              <w:t xml:space="preserve"> will be reflected in the resubmitted EP</w:t>
            </w:r>
            <w:r w:rsidR="004E3FFB">
              <w:t xml:space="preserve"> (</w:t>
            </w:r>
            <w:r w:rsidR="00FD026F">
              <w:t xml:space="preserve">relevant person </w:t>
            </w:r>
            <w:r w:rsidR="00C46CC4">
              <w:t xml:space="preserve">consultation log and </w:t>
            </w:r>
            <w:r w:rsidR="004E3FFB">
              <w:t>sensitive matters report)</w:t>
            </w:r>
            <w:r w:rsidR="000B007D" w:rsidRPr="00EA20B5">
              <w:t>.</w:t>
            </w:r>
          </w:p>
          <w:p w14:paraId="68AC7BBF" w14:textId="0F084E42" w:rsidR="009A26B3" w:rsidRPr="00505222" w:rsidRDefault="009A26B3" w:rsidP="00962A8D">
            <w:pPr>
              <w:pStyle w:val="Tabletext9"/>
              <w:cnfStyle w:val="000000100000" w:firstRow="0" w:lastRow="0" w:firstColumn="0" w:lastColumn="0" w:oddVBand="0" w:evenVBand="0" w:oddHBand="1" w:evenHBand="0" w:firstRowFirstColumn="0" w:firstRowLastColumn="0" w:lastRowFirstColumn="0" w:lastRowLastColumn="0"/>
            </w:pPr>
          </w:p>
        </w:tc>
      </w:tr>
      <w:tr w:rsidR="00664624" w14:paraId="4F97D512" w14:textId="77777777" w:rsidTr="70F9F1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315647BB" w14:textId="4E912ADB" w:rsidR="00664624" w:rsidRDefault="00664624" w:rsidP="00664624">
            <w:pPr>
              <w:pStyle w:val="Tabletext9"/>
            </w:pPr>
            <w:r>
              <w:lastRenderedPageBreak/>
              <w:t>6</w:t>
            </w:r>
          </w:p>
        </w:tc>
        <w:tc>
          <w:tcPr>
            <w:tcW w:w="5685" w:type="dxa"/>
          </w:tcPr>
          <w:p w14:paraId="197A13E2" w14:textId="77777777" w:rsidR="00130E5E" w:rsidRPr="00130E5E" w:rsidRDefault="00130E5E" w:rsidP="00664624">
            <w:pPr>
              <w:pStyle w:val="Tabletext9"/>
              <w:cnfStyle w:val="000000010000" w:firstRow="0" w:lastRow="0" w:firstColumn="0" w:lastColumn="0" w:oddVBand="0" w:evenVBand="0" w:oddHBand="0" w:evenHBand="1" w:firstRowFirstColumn="0" w:firstRowLastColumn="0" w:lastRowFirstColumn="0" w:lastRowLastColumn="0"/>
              <w:rPr>
                <w:b/>
                <w:bCs/>
              </w:rPr>
            </w:pPr>
            <w:r w:rsidRPr="00130E5E">
              <w:rPr>
                <w:b/>
                <w:bCs/>
              </w:rPr>
              <w:t>Matter:</w:t>
            </w:r>
          </w:p>
          <w:p w14:paraId="327F16EC" w14:textId="77777777" w:rsidR="00664624" w:rsidRDefault="00664624" w:rsidP="00664624">
            <w:pPr>
              <w:pStyle w:val="Tabletext9"/>
              <w:cnfStyle w:val="000000010000" w:firstRow="0" w:lastRow="0" w:firstColumn="0" w:lastColumn="0" w:oddVBand="0" w:evenVBand="0" w:oddHBand="0" w:evenHBand="1" w:firstRowFirstColumn="0" w:firstRowLastColumn="0" w:lastRowFirstColumn="0" w:lastRowLastColumn="0"/>
            </w:pPr>
            <w:r w:rsidRPr="00D55273">
              <w:t>Risks posed during emergency conditions (hydrocarbon spill)</w:t>
            </w:r>
          </w:p>
          <w:p w14:paraId="26D74067" w14:textId="77777777" w:rsidR="00130E5E" w:rsidRDefault="00130E5E" w:rsidP="00664624">
            <w:pPr>
              <w:pStyle w:val="Tabletext9"/>
              <w:cnfStyle w:val="000000010000" w:firstRow="0" w:lastRow="0" w:firstColumn="0" w:lastColumn="0" w:oddVBand="0" w:evenVBand="0" w:oddHBand="0" w:evenHBand="1" w:firstRowFirstColumn="0" w:firstRowLastColumn="0" w:lastRowFirstColumn="0" w:lastRowLastColumn="0"/>
              <w:rPr>
                <w:b/>
              </w:rPr>
            </w:pPr>
            <w:r>
              <w:rPr>
                <w:b/>
              </w:rPr>
              <w:t>Claim:</w:t>
            </w:r>
          </w:p>
          <w:p w14:paraId="57406F32" w14:textId="23E17E4F" w:rsidR="005B7CD3" w:rsidRDefault="00F844AF" w:rsidP="00664624">
            <w:pPr>
              <w:pStyle w:val="Tabletext9"/>
              <w:cnfStyle w:val="000000010000" w:firstRow="0" w:lastRow="0" w:firstColumn="0" w:lastColumn="0" w:oddVBand="0" w:evenVBand="0" w:oddHBand="0" w:evenHBand="1" w:firstRowFirstColumn="0" w:firstRowLastColumn="0" w:lastRowFirstColumn="0" w:lastRowLastColumn="0"/>
            </w:pPr>
            <w:r>
              <w:t>Concern</w:t>
            </w:r>
            <w:r w:rsidRPr="00F844AF">
              <w:t xml:space="preserve"> that in the unexpected event of a hydrocarbon reservoir being breached and loss of well control occurring, the absence of any expectation of the event, combined with an absence of modelling for a spill and delay times in responding to an event, will leave the sensitive and pristine receptors of the region at risk of significant impact. Modelling for and risk assessment of a hydrocarbon spill is required for the </w:t>
            </w:r>
            <w:r w:rsidR="005B7CD3">
              <w:t>EP.</w:t>
            </w:r>
          </w:p>
          <w:p w14:paraId="560A9198" w14:textId="6DCFC834" w:rsidR="007079D7" w:rsidRPr="004B43F5" w:rsidRDefault="007079D7" w:rsidP="00664624">
            <w:pPr>
              <w:pStyle w:val="Tabletext9"/>
              <w:cnfStyle w:val="000000010000" w:firstRow="0" w:lastRow="0" w:firstColumn="0" w:lastColumn="0" w:oddVBand="0" w:evenVBand="0" w:oddHBand="0" w:evenHBand="1" w:firstRowFirstColumn="0" w:firstRowLastColumn="0" w:lastRowFirstColumn="0" w:lastRowLastColumn="0"/>
              <w:rPr>
                <w:b/>
                <w:bCs/>
              </w:rPr>
            </w:pPr>
            <w:r w:rsidRPr="00BD02B6">
              <w:t xml:space="preserve">Note: </w:t>
            </w:r>
            <w:r>
              <w:t>One</w:t>
            </w:r>
            <w:r w:rsidRPr="00BD02B6">
              <w:t xml:space="preserve"> </w:t>
            </w:r>
            <w:r>
              <w:t>comment</w:t>
            </w:r>
            <w:r w:rsidRPr="00BD02B6">
              <w:t xml:space="preserve"> </w:t>
            </w:r>
            <w:r>
              <w:t xml:space="preserve">was </w:t>
            </w:r>
            <w:r w:rsidRPr="00BD02B6">
              <w:t>received in relation to this matter</w:t>
            </w:r>
            <w:r>
              <w:t>.</w:t>
            </w:r>
          </w:p>
        </w:tc>
        <w:tc>
          <w:tcPr>
            <w:tcW w:w="7761" w:type="dxa"/>
          </w:tcPr>
          <w:p w14:paraId="3749BF16" w14:textId="13B95942" w:rsidR="00664624" w:rsidRDefault="00E35A51" w:rsidP="00664624">
            <w:pPr>
              <w:pStyle w:val="Tabletext9"/>
              <w:cnfStyle w:val="000000010000" w:firstRow="0" w:lastRow="0" w:firstColumn="0" w:lastColumn="0" w:oddVBand="0" w:evenVBand="0" w:oddHBand="0" w:evenHBand="1" w:firstRowFirstColumn="0" w:firstRowLastColumn="0" w:lastRowFirstColumn="0" w:lastRowLastColumn="0"/>
            </w:pPr>
            <w:r>
              <w:t xml:space="preserve">The </w:t>
            </w:r>
            <w:r w:rsidR="003808BC">
              <w:t>worst-</w:t>
            </w:r>
            <w:r>
              <w:t xml:space="preserve">credible spill scenario (vessel collision) has been described in the EP and arrangements to respond are in place. </w:t>
            </w:r>
            <w:r w:rsidR="5D2BA6EF">
              <w:t xml:space="preserve">Both modelling and </w:t>
            </w:r>
            <w:r w:rsidR="00E657A1">
              <w:t xml:space="preserve">a </w:t>
            </w:r>
            <w:r w:rsidR="5D2BA6EF">
              <w:t>risk asses</w:t>
            </w:r>
            <w:r w:rsidR="5A899CE8">
              <w:t xml:space="preserve">sment </w:t>
            </w:r>
            <w:r w:rsidR="00E657A1">
              <w:t xml:space="preserve">were </w:t>
            </w:r>
            <w:r w:rsidR="42CBF6E0">
              <w:t xml:space="preserve">undertaken </w:t>
            </w:r>
            <w:r w:rsidR="5A899CE8">
              <w:t xml:space="preserve">for </w:t>
            </w:r>
            <w:r w:rsidR="6CFDE894">
              <w:t xml:space="preserve">such a </w:t>
            </w:r>
            <w:r w:rsidR="5A899CE8">
              <w:t xml:space="preserve">spill </w:t>
            </w:r>
            <w:r w:rsidR="2A6E1694">
              <w:t xml:space="preserve">scenario </w:t>
            </w:r>
            <w:r w:rsidR="0EC44CAE">
              <w:t xml:space="preserve">and </w:t>
            </w:r>
            <w:r w:rsidR="4CA1E0B1">
              <w:t>the results</w:t>
            </w:r>
            <w:r w:rsidR="0EC44CAE">
              <w:t xml:space="preserve"> included</w:t>
            </w:r>
            <w:r w:rsidR="3819CAC3">
              <w:t xml:space="preserve"> in Section 8</w:t>
            </w:r>
            <w:r w:rsidR="0EC44CAE">
              <w:t>.</w:t>
            </w:r>
            <w:r w:rsidR="5A899CE8">
              <w:t xml:space="preserve"> </w:t>
            </w:r>
            <w:r w:rsidR="00F536E1">
              <w:t xml:space="preserve">Further, </w:t>
            </w:r>
            <w:r w:rsidR="2E39A558">
              <w:t xml:space="preserve"> Section 8 of the EP</w:t>
            </w:r>
            <w:r w:rsidR="00F536E1">
              <w:t xml:space="preserve"> </w:t>
            </w:r>
            <w:r w:rsidR="0037285D">
              <w:t>notes</w:t>
            </w:r>
            <w:r w:rsidR="2E39A558">
              <w:t xml:space="preserve"> </w:t>
            </w:r>
            <w:r w:rsidR="76DCF689">
              <w:t xml:space="preserve">that </w:t>
            </w:r>
            <w:r w:rsidR="2E39A558">
              <w:t xml:space="preserve">given the proposed well target locations are approximately 500 m above the main hydrocarbon bearing formation there is no credible risk of a </w:t>
            </w:r>
            <w:r w:rsidR="3F918F21">
              <w:t xml:space="preserve">well </w:t>
            </w:r>
            <w:r w:rsidR="2E39A558">
              <w:t xml:space="preserve">blowout. This is supported by both previous drilling and seismic survey data of the Petrel Field. </w:t>
            </w:r>
            <w:r w:rsidR="3E02C63A">
              <w:t>However</w:t>
            </w:r>
            <w:r w:rsidR="00702B15">
              <w:t>, i</w:t>
            </w:r>
            <w:r>
              <w:t xml:space="preserve">n the unlikely event that a source control response </w:t>
            </w:r>
            <w:r w:rsidR="564B424D">
              <w:t>should be</w:t>
            </w:r>
            <w:r>
              <w:t xml:space="preserve"> required, </w:t>
            </w:r>
            <w:r w:rsidR="00917581">
              <w:t>sufficient</w:t>
            </w:r>
            <w:r>
              <w:t xml:space="preserve"> </w:t>
            </w:r>
            <w:r w:rsidR="25DF9998">
              <w:t>source control capabilities</w:t>
            </w:r>
            <w:r w:rsidR="1E54A3F6">
              <w:t xml:space="preserve"> are </w:t>
            </w:r>
            <w:r w:rsidR="7DC7ABA8">
              <w:t xml:space="preserve">maintained and </w:t>
            </w:r>
            <w:r w:rsidR="00702B15">
              <w:t xml:space="preserve">are </w:t>
            </w:r>
            <w:r w:rsidR="1E54A3F6">
              <w:t xml:space="preserve">available as </w:t>
            </w:r>
            <w:r>
              <w:t xml:space="preserve">described in INPEX's source control capabilities and arrangements report (presented as </w:t>
            </w:r>
            <w:r w:rsidR="00F10D64">
              <w:t>part of the</w:t>
            </w:r>
            <w:r>
              <w:t xml:space="preserve"> EP</w:t>
            </w:r>
            <w:r w:rsidR="00F10D64">
              <w:t xml:space="preserve"> submission</w:t>
            </w:r>
            <w:r>
              <w:t>)</w:t>
            </w:r>
            <w:r w:rsidR="00917581">
              <w:t>.</w:t>
            </w:r>
          </w:p>
          <w:p w14:paraId="49B725BB" w14:textId="367570AF" w:rsidR="007914A9" w:rsidRDefault="00696546" w:rsidP="00664624">
            <w:pPr>
              <w:pStyle w:val="Tabletext9"/>
              <w:cnfStyle w:val="000000010000" w:firstRow="0" w:lastRow="0" w:firstColumn="0" w:lastColumn="0" w:oddVBand="0" w:evenVBand="0" w:oddHBand="0" w:evenHBand="1" w:firstRowFirstColumn="0" w:firstRowLastColumn="0" w:lastRowFirstColumn="0" w:lastRowLastColumn="0"/>
            </w:pPr>
            <w:r w:rsidRPr="00265D19">
              <w:t>No changes have been made to the EP.</w:t>
            </w:r>
            <w:r w:rsidR="00370410">
              <w:t xml:space="preserve"> </w:t>
            </w:r>
            <w:r w:rsidR="00211371">
              <w:t xml:space="preserve"> </w:t>
            </w:r>
          </w:p>
          <w:p w14:paraId="6E806B0D" w14:textId="5BFD1CFA" w:rsidR="00CF31DD" w:rsidRPr="00917581" w:rsidRDefault="00CF31DD" w:rsidP="00CF31DD">
            <w:pPr>
              <w:pStyle w:val="Tabletext9"/>
              <w:cnfStyle w:val="000000010000" w:firstRow="0" w:lastRow="0" w:firstColumn="0" w:lastColumn="0" w:oddVBand="0" w:evenVBand="0" w:oddHBand="0" w:evenHBand="1" w:firstRowFirstColumn="0" w:firstRowLastColumn="0" w:lastRowFirstColumn="0" w:lastRowLastColumn="0"/>
            </w:pPr>
          </w:p>
        </w:tc>
      </w:tr>
      <w:tr w:rsidR="00DA0C36" w14:paraId="35CA69CF" w14:textId="77777777" w:rsidTr="70F9F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10FB8AE1" w14:textId="3149F26E" w:rsidR="00DA0C36" w:rsidRDefault="00DA0C36" w:rsidP="00664624">
            <w:pPr>
              <w:pStyle w:val="Tabletext9"/>
            </w:pPr>
            <w:r>
              <w:t>7</w:t>
            </w:r>
          </w:p>
        </w:tc>
        <w:tc>
          <w:tcPr>
            <w:tcW w:w="5685" w:type="dxa"/>
          </w:tcPr>
          <w:p w14:paraId="5BD917BA" w14:textId="77777777" w:rsidR="00DA0C36" w:rsidRDefault="00DA0C36" w:rsidP="00664624">
            <w:pPr>
              <w:pStyle w:val="Tabletext9"/>
              <w:cnfStyle w:val="000000100000" w:firstRow="0" w:lastRow="0" w:firstColumn="0" w:lastColumn="0" w:oddVBand="0" w:evenVBand="0" w:oddHBand="1" w:evenHBand="0" w:firstRowFirstColumn="0" w:firstRowLastColumn="0" w:lastRowFirstColumn="0" w:lastRowLastColumn="0"/>
              <w:rPr>
                <w:b/>
                <w:bCs/>
              </w:rPr>
            </w:pPr>
            <w:r>
              <w:rPr>
                <w:b/>
                <w:bCs/>
              </w:rPr>
              <w:t>Matter:</w:t>
            </w:r>
          </w:p>
          <w:p w14:paraId="6DBC9EA4" w14:textId="4F822CFD" w:rsidR="009B07E1" w:rsidRPr="009B07E1" w:rsidRDefault="009B07E1" w:rsidP="00664624">
            <w:pPr>
              <w:pStyle w:val="Tabletext9"/>
              <w:cnfStyle w:val="000000100000" w:firstRow="0" w:lastRow="0" w:firstColumn="0" w:lastColumn="0" w:oddVBand="0" w:evenVBand="0" w:oddHBand="1" w:evenHBand="0" w:firstRowFirstColumn="0" w:firstRowLastColumn="0" w:lastRowFirstColumn="0" w:lastRowLastColumn="0"/>
              <w:rPr>
                <w:sz w:val="16"/>
                <w:szCs w:val="21"/>
              </w:rPr>
            </w:pPr>
            <w:r w:rsidRPr="009B07E1">
              <w:rPr>
                <w:szCs w:val="20"/>
              </w:rPr>
              <w:t>Carbon sequestration in depleted gas fields is an unproven and a risky technology</w:t>
            </w:r>
            <w:r>
              <w:rPr>
                <w:szCs w:val="20"/>
              </w:rPr>
              <w:t>.</w:t>
            </w:r>
          </w:p>
          <w:p w14:paraId="722F0240" w14:textId="77777777" w:rsidR="002904B9" w:rsidRPr="002904B9" w:rsidRDefault="002904B9" w:rsidP="00664624">
            <w:pPr>
              <w:pStyle w:val="Tabletext9"/>
              <w:cnfStyle w:val="000000100000" w:firstRow="0" w:lastRow="0" w:firstColumn="0" w:lastColumn="0" w:oddVBand="0" w:evenVBand="0" w:oddHBand="1" w:evenHBand="0" w:firstRowFirstColumn="0" w:firstRowLastColumn="0" w:lastRowFirstColumn="0" w:lastRowLastColumn="0"/>
              <w:rPr>
                <w:b/>
                <w:bCs/>
                <w:szCs w:val="20"/>
              </w:rPr>
            </w:pPr>
            <w:r w:rsidRPr="002904B9">
              <w:rPr>
                <w:b/>
                <w:bCs/>
                <w:szCs w:val="20"/>
              </w:rPr>
              <w:t>Claim:</w:t>
            </w:r>
          </w:p>
          <w:p w14:paraId="7B0DAF11" w14:textId="77777777" w:rsidR="00DA0C36" w:rsidRDefault="005B4F8E" w:rsidP="00664624">
            <w:pPr>
              <w:pStyle w:val="Tabletext9"/>
              <w:cnfStyle w:val="000000100000" w:firstRow="0" w:lastRow="0" w:firstColumn="0" w:lastColumn="0" w:oddVBand="0" w:evenVBand="0" w:oddHBand="1" w:evenHBand="0" w:firstRowFirstColumn="0" w:firstRowLastColumn="0" w:lastRowFirstColumn="0" w:lastRowLastColumn="0"/>
              <w:rPr>
                <w:szCs w:val="20"/>
              </w:rPr>
            </w:pPr>
            <w:r w:rsidRPr="005B4F8E">
              <w:rPr>
                <w:szCs w:val="20"/>
              </w:rPr>
              <w:t>Environmental risks from the proposal to assess the suitability of offshore reservoirs for CO2 storage as outweighing any likely benefits.</w:t>
            </w:r>
          </w:p>
          <w:p w14:paraId="1D0B8C05" w14:textId="5702218D" w:rsidR="002904B9" w:rsidRPr="005B4F8E" w:rsidRDefault="002904B9" w:rsidP="00664624">
            <w:pPr>
              <w:pStyle w:val="Tabletext9"/>
              <w:cnfStyle w:val="000000100000" w:firstRow="0" w:lastRow="0" w:firstColumn="0" w:lastColumn="0" w:oddVBand="0" w:evenVBand="0" w:oddHBand="1" w:evenHBand="0" w:firstRowFirstColumn="0" w:firstRowLastColumn="0" w:lastRowFirstColumn="0" w:lastRowLastColumn="0"/>
              <w:rPr>
                <w:b/>
                <w:bCs/>
                <w:szCs w:val="20"/>
              </w:rPr>
            </w:pPr>
            <w:r w:rsidRPr="00BD02B6">
              <w:t xml:space="preserve">Note: </w:t>
            </w:r>
            <w:r>
              <w:t>One</w:t>
            </w:r>
            <w:r w:rsidRPr="00BD02B6">
              <w:t xml:space="preserve"> </w:t>
            </w:r>
            <w:r>
              <w:t>comment</w:t>
            </w:r>
            <w:r w:rsidRPr="00BD02B6">
              <w:t xml:space="preserve"> </w:t>
            </w:r>
            <w:r>
              <w:t xml:space="preserve">was </w:t>
            </w:r>
            <w:r w:rsidRPr="00BD02B6">
              <w:t>received in relation to this matter</w:t>
            </w:r>
            <w:r>
              <w:t>.</w:t>
            </w:r>
          </w:p>
        </w:tc>
        <w:tc>
          <w:tcPr>
            <w:tcW w:w="7761" w:type="dxa"/>
          </w:tcPr>
          <w:p w14:paraId="008E6B9C" w14:textId="7F96A27F" w:rsidR="002F480D" w:rsidRDefault="002F480D" w:rsidP="00E25D3E">
            <w:pPr>
              <w:pStyle w:val="Tabletext9"/>
              <w:cnfStyle w:val="000000100000" w:firstRow="0" w:lastRow="0" w:firstColumn="0" w:lastColumn="0" w:oddVBand="0" w:evenVBand="0" w:oddHBand="1" w:evenHBand="0" w:firstRowFirstColumn="0" w:firstRowLastColumn="0" w:lastRowFirstColumn="0" w:lastRowLastColumn="0"/>
            </w:pPr>
            <w:r w:rsidRPr="002F480D">
              <w:t>Technologies such as renewable energy, improved energy efficiency and fuel switching are aimed at preventing the creation of CO2 emissions. CCS complements these technologies by addressing emissions that currently cannot be avoided, such as CO2 emissions from industrial processes like steel or cement manufacturing</w:t>
            </w:r>
            <w:r w:rsidR="00066B28">
              <w:t xml:space="preserve"> (Geosciences Australia: </w:t>
            </w:r>
            <w:hyperlink r:id="rId24" w:history="1">
              <w:r w:rsidR="00066B28" w:rsidRPr="009C207E">
                <w:rPr>
                  <w:rStyle w:val="Hyperlink"/>
                </w:rPr>
                <w:t>https://www.ga.gov.au/scientific-topics/energy/resources/carbon-capture-and-storage-ccs</w:t>
              </w:r>
            </w:hyperlink>
            <w:r w:rsidR="00066B28">
              <w:t>)</w:t>
            </w:r>
          </w:p>
          <w:p w14:paraId="5F074AB8" w14:textId="3B57B291" w:rsidR="00DA0C36" w:rsidRDefault="00E25D3E" w:rsidP="00664624">
            <w:pPr>
              <w:pStyle w:val="Tabletext9"/>
              <w:cnfStyle w:val="000000100000" w:firstRow="0" w:lastRow="0" w:firstColumn="0" w:lastColumn="0" w:oddVBand="0" w:evenVBand="0" w:oddHBand="1" w:evenHBand="0" w:firstRowFirstColumn="0" w:firstRowLastColumn="0" w:lastRowFirstColumn="0" w:lastRowLastColumn="0"/>
            </w:pPr>
            <w:r w:rsidRPr="00265D19">
              <w:t>No changes have been made to the EP.</w:t>
            </w:r>
            <w:r>
              <w:t xml:space="preserve">  </w:t>
            </w:r>
          </w:p>
        </w:tc>
      </w:tr>
    </w:tbl>
    <w:p w14:paraId="593EF818" w14:textId="77777777" w:rsidR="001D5730" w:rsidRDefault="001D5730" w:rsidP="000D45C1">
      <w:pPr>
        <w:pStyle w:val="BodyText"/>
      </w:pPr>
    </w:p>
    <w:sectPr w:rsidR="001D5730" w:rsidSect="000D45C1">
      <w:footerReference w:type="default" r:id="rId25"/>
      <w:footnotePr>
        <w:pos w:val="beneathText"/>
      </w:footnotePr>
      <w:pgSz w:w="16838" w:h="11906" w:orient="landscape" w:code="9"/>
      <w:pgMar w:top="1701" w:right="1134" w:bottom="1134" w:left="1701" w:header="1134"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8E62" w14:textId="77777777" w:rsidR="00FA58FC" w:rsidRDefault="00FA58FC">
      <w:r>
        <w:separator/>
      </w:r>
    </w:p>
  </w:endnote>
  <w:endnote w:type="continuationSeparator" w:id="0">
    <w:p w14:paraId="1028BD26" w14:textId="77777777" w:rsidR="00FA58FC" w:rsidRDefault="00FA58FC">
      <w:r>
        <w:continuationSeparator/>
      </w:r>
    </w:p>
  </w:endnote>
  <w:endnote w:type="continuationNotice" w:id="1">
    <w:p w14:paraId="707DC685" w14:textId="77777777" w:rsidR="00FA58FC" w:rsidRDefault="00FA5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51" w:type="dxa"/>
      <w:tblCellMar>
        <w:top w:w="57" w:type="dxa"/>
      </w:tblCellMar>
      <w:tblLook w:val="01E0" w:firstRow="1" w:lastRow="1" w:firstColumn="1" w:lastColumn="1" w:noHBand="0" w:noVBand="0"/>
    </w:tblPr>
    <w:tblGrid>
      <w:gridCol w:w="3118"/>
      <w:gridCol w:w="3119"/>
      <w:gridCol w:w="3119"/>
    </w:tblGrid>
    <w:tr w:rsidR="0073009F" w14:paraId="43407F2A" w14:textId="77777777" w:rsidTr="00677479">
      <w:tc>
        <w:tcPr>
          <w:tcW w:w="3016" w:type="dxa"/>
          <w:shd w:val="clear" w:color="auto" w:fill="auto"/>
        </w:tcPr>
        <w:p w14:paraId="19F79C7B" w14:textId="77777777" w:rsidR="0073009F" w:rsidRDefault="0073009F" w:rsidP="00677479">
          <w:pPr>
            <w:pStyle w:val="Footer"/>
            <w:tabs>
              <w:tab w:val="clear" w:pos="4536"/>
              <w:tab w:val="clear" w:pos="9072"/>
              <w:tab w:val="center" w:pos="4111"/>
              <w:tab w:val="right" w:pos="8222"/>
            </w:tabs>
          </w:pPr>
        </w:p>
      </w:tc>
      <w:tc>
        <w:tcPr>
          <w:tcW w:w="3016" w:type="dxa"/>
          <w:shd w:val="clear" w:color="auto" w:fill="auto"/>
        </w:tcPr>
        <w:p w14:paraId="4B3AD700" w14:textId="77777777" w:rsidR="0073009F" w:rsidRDefault="0073009F" w:rsidP="00677479">
          <w:pPr>
            <w:pStyle w:val="Footer"/>
            <w:tabs>
              <w:tab w:val="clear" w:pos="4536"/>
              <w:tab w:val="clear" w:pos="9072"/>
              <w:tab w:val="center" w:pos="4111"/>
              <w:tab w:val="right" w:pos="8222"/>
            </w:tabs>
            <w:jc w:val="center"/>
          </w:pPr>
          <w:r>
            <w:fldChar w:fldCharType="begin"/>
          </w:r>
          <w:r>
            <w:instrText xml:space="preserve"> PAGE </w:instrText>
          </w:r>
          <w:r>
            <w:fldChar w:fldCharType="separate"/>
          </w:r>
          <w:r>
            <w:rPr>
              <w:noProof/>
            </w:rPr>
            <w:t>v</w:t>
          </w:r>
          <w:r>
            <w:fldChar w:fldCharType="end"/>
          </w:r>
        </w:p>
      </w:tc>
      <w:tc>
        <w:tcPr>
          <w:tcW w:w="3016" w:type="dxa"/>
          <w:shd w:val="clear" w:color="auto" w:fill="auto"/>
        </w:tcPr>
        <w:p w14:paraId="2B56FD4F" w14:textId="77777777" w:rsidR="0073009F" w:rsidRDefault="0073009F" w:rsidP="00677479">
          <w:pPr>
            <w:pStyle w:val="Footer"/>
            <w:tabs>
              <w:tab w:val="clear" w:pos="4536"/>
              <w:tab w:val="clear" w:pos="9072"/>
              <w:tab w:val="center" w:pos="4111"/>
              <w:tab w:val="right" w:pos="8222"/>
            </w:tabs>
          </w:pPr>
        </w:p>
      </w:tc>
    </w:tr>
  </w:tbl>
  <w:p w14:paraId="1C5B4254" w14:textId="77777777" w:rsidR="0073009F" w:rsidRDefault="0073009F" w:rsidP="006F7287">
    <w:pPr>
      <w:pStyle w:val="Footer"/>
      <w:tabs>
        <w:tab w:val="clear" w:pos="4536"/>
        <w:tab w:val="clear" w:pos="9072"/>
        <w:tab w:val="center" w:pos="4111"/>
        <w:tab w:val="right" w:pos="8222"/>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C3ED" w14:textId="4FC6453D" w:rsidR="0073009F" w:rsidRPr="00C14FD2" w:rsidRDefault="0073009F" w:rsidP="007D5EFE">
    <w:pPr>
      <w:pStyle w:val="Footer"/>
      <w:pBdr>
        <w:top w:val="single" w:sz="4" w:space="1" w:color="auto"/>
      </w:pBdr>
      <w:tabs>
        <w:tab w:val="clear" w:pos="4536"/>
        <w:tab w:val="left" w:pos="3600"/>
      </w:tabs>
      <w:ind w:left="-142"/>
      <w:rPr>
        <w:rStyle w:val="PageNumber"/>
      </w:rPr>
    </w:pPr>
    <w:r w:rsidRPr="00693B48">
      <w:rPr>
        <w:sz w:val="18"/>
        <w:szCs w:val="18"/>
      </w:rPr>
      <w:t>Do</w:t>
    </w:r>
    <w:r w:rsidRPr="00C14FD2">
      <w:rPr>
        <w:sz w:val="18"/>
        <w:szCs w:val="18"/>
      </w:rPr>
      <w:t>cument No:</w:t>
    </w:r>
    <w:r>
      <w:rPr>
        <w:color w:val="444088" w:themeColor="text2"/>
        <w:sz w:val="18"/>
        <w:szCs w:val="18"/>
      </w:rPr>
      <w:t xml:space="preserve"> </w:t>
    </w:r>
    <w:r w:rsidR="00A32667">
      <w:rPr>
        <w:color w:val="444088" w:themeColor="text2"/>
        <w:sz w:val="18"/>
        <w:szCs w:val="18"/>
      </w:rPr>
      <w:t>T087-A7-REP-70000</w:t>
    </w:r>
    <w:r w:rsidRPr="00C14FD2">
      <w:rPr>
        <w:rStyle w:val="PageNumber"/>
      </w:rPr>
      <w:tab/>
    </w:r>
    <w:r w:rsidRPr="00C14FD2">
      <w:rPr>
        <w:rStyle w:val="PageNumber"/>
      </w:rPr>
      <w:tab/>
    </w:r>
    <w:r w:rsidRPr="00C14FD2">
      <w:rPr>
        <w:rStyle w:val="PageNumber"/>
      </w:rPr>
      <w:fldChar w:fldCharType="begin"/>
    </w:r>
    <w:r w:rsidRPr="00C14FD2">
      <w:rPr>
        <w:rStyle w:val="PageNumber"/>
      </w:rPr>
      <w:instrText xml:space="preserve"> PAGE </w:instrText>
    </w:r>
    <w:r w:rsidRPr="00C14FD2">
      <w:rPr>
        <w:rStyle w:val="PageNumber"/>
      </w:rPr>
      <w:fldChar w:fldCharType="separate"/>
    </w:r>
    <w:r w:rsidR="0062352D">
      <w:rPr>
        <w:rStyle w:val="PageNumber"/>
        <w:noProof/>
      </w:rPr>
      <w:t>iv</w:t>
    </w:r>
    <w:r w:rsidRPr="00C14FD2">
      <w:rPr>
        <w:rStyle w:val="PageNumber"/>
      </w:rPr>
      <w:fldChar w:fldCharType="end"/>
    </w:r>
  </w:p>
  <w:p w14:paraId="4EF00C7A" w14:textId="6C2EE39E" w:rsidR="0073009F" w:rsidRDefault="0073009F" w:rsidP="00051123">
    <w:pPr>
      <w:pStyle w:val="Footer"/>
      <w:pBdr>
        <w:top w:val="single" w:sz="4" w:space="1" w:color="auto"/>
      </w:pBdr>
      <w:tabs>
        <w:tab w:val="clear" w:pos="4536"/>
        <w:tab w:val="center" w:pos="3600"/>
        <w:tab w:val="right" w:pos="8222"/>
      </w:tabs>
      <w:ind w:left="-142"/>
      <w:rPr>
        <w:sz w:val="18"/>
        <w:szCs w:val="18"/>
      </w:rPr>
    </w:pPr>
    <w:r w:rsidRPr="00C14FD2">
      <w:rPr>
        <w:sz w:val="18"/>
        <w:szCs w:val="18"/>
      </w:rPr>
      <w:t xml:space="preserve">Security Classification: </w:t>
    </w:r>
    <w:r>
      <w:rPr>
        <w:color w:val="444088" w:themeColor="text2"/>
        <w:sz w:val="18"/>
        <w:szCs w:val="18"/>
      </w:rPr>
      <w:t>Public</w:t>
    </w:r>
  </w:p>
  <w:p w14:paraId="6A1B72B1" w14:textId="5C64BD07" w:rsidR="0073009F" w:rsidRPr="00C14FD2" w:rsidRDefault="0073009F" w:rsidP="00051123">
    <w:pPr>
      <w:pStyle w:val="Footer"/>
      <w:pBdr>
        <w:top w:val="single" w:sz="4" w:space="1" w:color="auto"/>
      </w:pBdr>
      <w:tabs>
        <w:tab w:val="clear" w:pos="4536"/>
        <w:tab w:val="center" w:pos="3600"/>
        <w:tab w:val="right" w:pos="8222"/>
      </w:tabs>
      <w:ind w:left="-142"/>
      <w:rPr>
        <w:sz w:val="18"/>
        <w:szCs w:val="18"/>
      </w:rPr>
    </w:pPr>
    <w:r w:rsidRPr="00C14FD2">
      <w:rPr>
        <w:sz w:val="18"/>
        <w:szCs w:val="18"/>
      </w:rPr>
      <w:t xml:space="preserve">Revision: </w:t>
    </w:r>
    <w:r w:rsidR="00157152">
      <w:rPr>
        <w:color w:val="444088" w:themeColor="text2"/>
        <w:sz w:val="18"/>
        <w:szCs w:val="18"/>
      </w:rPr>
      <w:t>0</w:t>
    </w:r>
  </w:p>
  <w:p w14:paraId="3A0BF05B" w14:textId="79C0B9A9" w:rsidR="0073009F" w:rsidRPr="00F40C48" w:rsidRDefault="0073009F" w:rsidP="00F40C48">
    <w:pPr>
      <w:pStyle w:val="Footer"/>
      <w:pBdr>
        <w:top w:val="single" w:sz="4" w:space="1" w:color="auto"/>
      </w:pBdr>
      <w:tabs>
        <w:tab w:val="clear" w:pos="4536"/>
        <w:tab w:val="center" w:pos="4111"/>
        <w:tab w:val="right" w:pos="8222"/>
      </w:tabs>
      <w:ind w:left="-142"/>
      <w:jc w:val="left"/>
      <w:rPr>
        <w:rFonts w:ascii="Calibri" w:hAnsi="Calibri"/>
      </w:rPr>
    </w:pPr>
    <w:r w:rsidRPr="00C14FD2">
      <w:rPr>
        <w:sz w:val="18"/>
        <w:szCs w:val="18"/>
      </w:rPr>
      <w:t xml:space="preserve">Last Modified: </w:t>
    </w:r>
    <w:r w:rsidR="00A32667">
      <w:rPr>
        <w:color w:val="444088" w:themeColor="text2"/>
        <w:sz w:val="18"/>
        <w:szCs w:val="18"/>
      </w:rPr>
      <w:t>1</w:t>
    </w:r>
    <w:r w:rsidR="0011383F">
      <w:rPr>
        <w:color w:val="444088" w:themeColor="text2"/>
        <w:sz w:val="18"/>
        <w:szCs w:val="18"/>
      </w:rPr>
      <w:t>4</w:t>
    </w:r>
    <w:r w:rsidR="00E73BD7">
      <w:rPr>
        <w:color w:val="444088" w:themeColor="text2"/>
        <w:sz w:val="18"/>
        <w:szCs w:val="18"/>
      </w:rPr>
      <w:t>/</w:t>
    </w:r>
    <w:r w:rsidR="00157152">
      <w:rPr>
        <w:color w:val="444088" w:themeColor="text2"/>
        <w:sz w:val="18"/>
        <w:szCs w:val="18"/>
      </w:rPr>
      <w:t>08</w:t>
    </w:r>
    <w:r w:rsidR="00E73BD7">
      <w:rPr>
        <w:color w:val="444088" w:themeColor="text2"/>
        <w:sz w:val="18"/>
        <w:szCs w:val="18"/>
      </w:rPr>
      <w:t>/202</w:t>
    </w:r>
    <w:r w:rsidR="00A32667">
      <w:rPr>
        <w:color w:val="444088" w:themeColor="text2"/>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E78B" w14:textId="77777777" w:rsidR="0073009F" w:rsidRDefault="0073009F" w:rsidP="00E67020">
    <w:pPr>
      <w:pStyle w:val="Footer"/>
      <w:rPr>
        <w:sz w:val="20"/>
        <w:szCs w:val="20"/>
      </w:rPr>
    </w:pPr>
  </w:p>
  <w:p w14:paraId="7A508FBE" w14:textId="77777777" w:rsidR="0073009F" w:rsidRPr="00F40C48" w:rsidRDefault="0073009F" w:rsidP="00F40C48">
    <w:pPr>
      <w:pStyle w:val="Footer"/>
      <w:jc w:val="left"/>
      <w:rPr>
        <w:rFonts w:ascii="Calibri" w:hAnsi="Calibri"/>
        <w:szCs w:val="20"/>
      </w:rPr>
    </w:pPr>
    <w:r>
      <w:rPr>
        <w:rFonts w:ascii="Calibri" w:hAnsi="Calibri"/>
        <w:szCs w:val="20"/>
      </w:rPr>
      <w:fldChar w:fldCharType="begin"/>
    </w:r>
    <w:r>
      <w:rPr>
        <w:rFonts w:ascii="Calibri" w:hAnsi="Calibri"/>
        <w:szCs w:val="20"/>
      </w:rPr>
      <w:instrText xml:space="preserve"> DOCPROPERTY "iManageFooter"  \* MERGEFORMAT </w:instrText>
    </w:r>
    <w:r>
      <w:rPr>
        <w:rFonts w:ascii="Calibri" w:hAnsi="Calibri"/>
        <w:szCs w:val="20"/>
      </w:rPr>
      <w:fldChar w:fldCharType="separate"/>
    </w:r>
    <w:r>
      <w:rPr>
        <w:rFonts w:ascii="Calibri" w:hAnsi="Calibri"/>
        <w:szCs w:val="20"/>
      </w:rPr>
      <w:t xml:space="preserve"> </w:t>
    </w:r>
    <w:r>
      <w:rPr>
        <w:rFonts w:ascii="Calibri" w:hAnsi="Calibri"/>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2059" w14:textId="7F3C30B8" w:rsidR="00A32667" w:rsidRPr="00C14FD2" w:rsidRDefault="00A32667" w:rsidP="007D5EFE">
    <w:pPr>
      <w:pStyle w:val="Footer"/>
      <w:pBdr>
        <w:top w:val="single" w:sz="4" w:space="1" w:color="auto"/>
      </w:pBdr>
      <w:tabs>
        <w:tab w:val="clear" w:pos="4536"/>
        <w:tab w:val="left" w:pos="3600"/>
      </w:tabs>
      <w:ind w:left="-142"/>
      <w:rPr>
        <w:rStyle w:val="PageNumber"/>
      </w:rPr>
    </w:pPr>
    <w:r w:rsidRPr="00693B48">
      <w:rPr>
        <w:sz w:val="18"/>
        <w:szCs w:val="18"/>
      </w:rPr>
      <w:t>Do</w:t>
    </w:r>
    <w:r w:rsidRPr="00C14FD2">
      <w:rPr>
        <w:sz w:val="18"/>
        <w:szCs w:val="18"/>
      </w:rPr>
      <w:t>cument No:</w:t>
    </w:r>
    <w:r>
      <w:rPr>
        <w:color w:val="444088" w:themeColor="text2"/>
        <w:sz w:val="18"/>
        <w:szCs w:val="18"/>
      </w:rPr>
      <w:t xml:space="preserve"> T087-A7-REP-70000</w:t>
    </w:r>
    <w:r w:rsidRPr="00C14FD2">
      <w:rPr>
        <w:rStyle w:val="PageNumber"/>
      </w:rPr>
      <w:tab/>
    </w:r>
    <w:r w:rsidRPr="00C14FD2">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Pr="00C14FD2">
      <w:rPr>
        <w:rStyle w:val="PageNumber"/>
      </w:rPr>
      <w:fldChar w:fldCharType="begin"/>
    </w:r>
    <w:r w:rsidRPr="00C14FD2">
      <w:rPr>
        <w:rStyle w:val="PageNumber"/>
      </w:rPr>
      <w:instrText xml:space="preserve"> PAGE </w:instrText>
    </w:r>
    <w:r w:rsidRPr="00C14FD2">
      <w:rPr>
        <w:rStyle w:val="PageNumber"/>
      </w:rPr>
      <w:fldChar w:fldCharType="separate"/>
    </w:r>
    <w:r>
      <w:rPr>
        <w:rStyle w:val="PageNumber"/>
        <w:noProof/>
      </w:rPr>
      <w:t>iv</w:t>
    </w:r>
    <w:r w:rsidRPr="00C14FD2">
      <w:rPr>
        <w:rStyle w:val="PageNumber"/>
      </w:rPr>
      <w:fldChar w:fldCharType="end"/>
    </w:r>
  </w:p>
  <w:p w14:paraId="5A45CF92" w14:textId="77777777" w:rsidR="00A32667" w:rsidRDefault="00A32667" w:rsidP="00051123">
    <w:pPr>
      <w:pStyle w:val="Footer"/>
      <w:pBdr>
        <w:top w:val="single" w:sz="4" w:space="1" w:color="auto"/>
      </w:pBdr>
      <w:tabs>
        <w:tab w:val="clear" w:pos="4536"/>
        <w:tab w:val="center" w:pos="3600"/>
        <w:tab w:val="right" w:pos="8222"/>
      </w:tabs>
      <w:ind w:left="-142"/>
      <w:rPr>
        <w:sz w:val="18"/>
        <w:szCs w:val="18"/>
      </w:rPr>
    </w:pPr>
    <w:r w:rsidRPr="00C14FD2">
      <w:rPr>
        <w:sz w:val="18"/>
        <w:szCs w:val="18"/>
      </w:rPr>
      <w:t xml:space="preserve">Security Classification: </w:t>
    </w:r>
    <w:r>
      <w:rPr>
        <w:color w:val="444088" w:themeColor="text2"/>
        <w:sz w:val="18"/>
        <w:szCs w:val="18"/>
      </w:rPr>
      <w:t>Public</w:t>
    </w:r>
  </w:p>
  <w:p w14:paraId="4338FAB1" w14:textId="57D85A9B" w:rsidR="00A32667" w:rsidRPr="00C14FD2" w:rsidRDefault="00A32667" w:rsidP="00051123">
    <w:pPr>
      <w:pStyle w:val="Footer"/>
      <w:pBdr>
        <w:top w:val="single" w:sz="4" w:space="1" w:color="auto"/>
      </w:pBdr>
      <w:tabs>
        <w:tab w:val="clear" w:pos="4536"/>
        <w:tab w:val="center" w:pos="3600"/>
        <w:tab w:val="right" w:pos="8222"/>
      </w:tabs>
      <w:ind w:left="-142"/>
      <w:rPr>
        <w:sz w:val="18"/>
        <w:szCs w:val="18"/>
      </w:rPr>
    </w:pPr>
    <w:r w:rsidRPr="00C14FD2">
      <w:rPr>
        <w:sz w:val="18"/>
        <w:szCs w:val="18"/>
      </w:rPr>
      <w:t xml:space="preserve">Revision: </w:t>
    </w:r>
    <w:r w:rsidR="00157152">
      <w:rPr>
        <w:sz w:val="18"/>
        <w:szCs w:val="18"/>
      </w:rPr>
      <w:t>0</w:t>
    </w:r>
  </w:p>
  <w:p w14:paraId="7BF62C4B" w14:textId="11FFF378" w:rsidR="00A32667" w:rsidRPr="00F40C48" w:rsidRDefault="00A32667" w:rsidP="00F40C48">
    <w:pPr>
      <w:pStyle w:val="Footer"/>
      <w:pBdr>
        <w:top w:val="single" w:sz="4" w:space="1" w:color="auto"/>
      </w:pBdr>
      <w:tabs>
        <w:tab w:val="clear" w:pos="4536"/>
        <w:tab w:val="center" w:pos="4111"/>
        <w:tab w:val="right" w:pos="8222"/>
      </w:tabs>
      <w:ind w:left="-142"/>
      <w:jc w:val="left"/>
      <w:rPr>
        <w:rFonts w:ascii="Calibri" w:hAnsi="Calibri"/>
      </w:rPr>
    </w:pPr>
    <w:r w:rsidRPr="00C14FD2">
      <w:rPr>
        <w:sz w:val="18"/>
        <w:szCs w:val="18"/>
      </w:rPr>
      <w:t xml:space="preserve">Last Modified: </w:t>
    </w:r>
    <w:r>
      <w:rPr>
        <w:color w:val="444088" w:themeColor="text2"/>
        <w:sz w:val="18"/>
        <w:szCs w:val="18"/>
      </w:rPr>
      <w:t>1</w:t>
    </w:r>
    <w:r w:rsidR="0011383F">
      <w:rPr>
        <w:color w:val="444088" w:themeColor="text2"/>
        <w:sz w:val="18"/>
        <w:szCs w:val="18"/>
      </w:rPr>
      <w:t>4</w:t>
    </w:r>
    <w:r>
      <w:rPr>
        <w:color w:val="444088" w:themeColor="text2"/>
        <w:sz w:val="18"/>
        <w:szCs w:val="18"/>
      </w:rPr>
      <w:t>/0</w:t>
    </w:r>
    <w:r w:rsidR="00157152">
      <w:rPr>
        <w:color w:val="444088" w:themeColor="text2"/>
        <w:sz w:val="18"/>
        <w:szCs w:val="18"/>
      </w:rPr>
      <w:t>8</w:t>
    </w:r>
    <w:r>
      <w:rPr>
        <w:color w:val="444088" w:themeColor="text2"/>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6119" w14:textId="77777777" w:rsidR="00FA58FC" w:rsidRDefault="00FA58FC">
      <w:r>
        <w:separator/>
      </w:r>
    </w:p>
  </w:footnote>
  <w:footnote w:type="continuationSeparator" w:id="0">
    <w:p w14:paraId="144B61ED" w14:textId="77777777" w:rsidR="00FA58FC" w:rsidRDefault="00FA58FC">
      <w:r>
        <w:continuationSeparator/>
      </w:r>
    </w:p>
  </w:footnote>
  <w:footnote w:type="continuationNotice" w:id="1">
    <w:p w14:paraId="1B7CDBF8" w14:textId="77777777" w:rsidR="00FA58FC" w:rsidRDefault="00FA58FC"/>
  </w:footnote>
  <w:footnote w:id="2">
    <w:p w14:paraId="3FC95708" w14:textId="6E4AF69D" w:rsidR="0073009F" w:rsidRDefault="0073009F">
      <w:pPr>
        <w:pStyle w:val="FootnoteText"/>
      </w:pPr>
      <w:r>
        <w:rPr>
          <w:rStyle w:val="FootnoteReference"/>
        </w:rPr>
        <w:footnoteRef/>
      </w:r>
      <w:r>
        <w:t xml:space="preserve"> In accordance with the NOPSEMA Guidance Note r</w:t>
      </w:r>
      <w:r w:rsidRPr="00A37116">
        <w:t xml:space="preserve">esponding in ‘general terms’ means </w:t>
      </w:r>
      <w:r>
        <w:t>“</w:t>
      </w:r>
      <w:r w:rsidRPr="00BF705A">
        <w:rPr>
          <w:i/>
          <w:iCs/>
        </w:rPr>
        <w:t>that the Titleholder should outline its consideration of the issues or themes raised in public comments. A separate response to each comment received is not required.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51" w:type="dxa"/>
      <w:tblBorders>
        <w:bottom w:val="single" w:sz="2" w:space="0" w:color="auto"/>
      </w:tblBorders>
      <w:tblCellMar>
        <w:bottom w:w="57" w:type="dxa"/>
      </w:tblCellMar>
      <w:tblLook w:val="01E0" w:firstRow="1" w:lastRow="1" w:firstColumn="1" w:lastColumn="1" w:noHBand="0" w:noVBand="0"/>
    </w:tblPr>
    <w:tblGrid>
      <w:gridCol w:w="4678"/>
      <w:gridCol w:w="4678"/>
    </w:tblGrid>
    <w:tr w:rsidR="0073009F" w14:paraId="168B11BA" w14:textId="77777777" w:rsidTr="00677479">
      <w:tc>
        <w:tcPr>
          <w:tcW w:w="2500" w:type="pct"/>
          <w:shd w:val="clear" w:color="auto" w:fill="auto"/>
        </w:tcPr>
        <w:p w14:paraId="74389066" w14:textId="77777777" w:rsidR="0073009F" w:rsidRDefault="0073009F" w:rsidP="00677479">
          <w:pPr>
            <w:pStyle w:val="Header"/>
            <w:tabs>
              <w:tab w:val="clear" w:pos="4536"/>
              <w:tab w:val="clear" w:pos="9072"/>
              <w:tab w:val="center" w:pos="4111"/>
              <w:tab w:val="right" w:pos="8222"/>
            </w:tabs>
          </w:pPr>
        </w:p>
      </w:tc>
      <w:tc>
        <w:tcPr>
          <w:tcW w:w="2500" w:type="pct"/>
          <w:shd w:val="clear" w:color="auto" w:fill="auto"/>
        </w:tcPr>
        <w:p w14:paraId="390882B4" w14:textId="77777777" w:rsidR="0073009F" w:rsidRDefault="0011383F" w:rsidP="00677479">
          <w:pPr>
            <w:pStyle w:val="Header"/>
            <w:tabs>
              <w:tab w:val="clear" w:pos="4536"/>
              <w:tab w:val="clear" w:pos="9072"/>
            </w:tabs>
          </w:pPr>
          <w:r>
            <w:fldChar w:fldCharType="begin"/>
          </w:r>
          <w:r>
            <w:instrText>TITLE  \* Upper  \* MERGEFORMAT</w:instrText>
          </w:r>
          <w:r>
            <w:fldChar w:fldCharType="separate"/>
          </w:r>
          <w:r w:rsidR="0073009F">
            <w:t>ENTER TITLE OF DOCUMENT</w:t>
          </w:r>
          <w:r>
            <w:fldChar w:fldCharType="end"/>
          </w:r>
        </w:p>
      </w:tc>
    </w:tr>
  </w:tbl>
  <w:p w14:paraId="7033DA58" w14:textId="77777777" w:rsidR="0073009F" w:rsidRPr="00EF4EC1" w:rsidRDefault="0073009F" w:rsidP="00D005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61FE" w14:textId="3B12A159" w:rsidR="0073009F" w:rsidRPr="000D45C1" w:rsidRDefault="0073009F" w:rsidP="00A45814">
    <w:pPr>
      <w:pStyle w:val="Header"/>
      <w:pBdr>
        <w:bottom w:val="single" w:sz="4" w:space="1" w:color="auto"/>
      </w:pBdr>
      <w:tabs>
        <w:tab w:val="clear" w:pos="4536"/>
        <w:tab w:val="clear" w:pos="9072"/>
        <w:tab w:val="right" w:pos="8222"/>
      </w:tabs>
      <w:ind w:hanging="142"/>
      <w:rPr>
        <w:color w:val="444088" w:themeColor="text2"/>
        <w:sz w:val="20"/>
        <w:szCs w:val="20"/>
        <w:lang w:eastAsia="ja-JP"/>
      </w:rPr>
    </w:pPr>
    <w:r w:rsidRPr="008702F5">
      <w:tab/>
      <w:t xml:space="preserve"> </w:t>
    </w:r>
    <w:r>
      <w:tab/>
    </w:r>
    <w:r w:rsidR="004B4953">
      <w:rPr>
        <w:color w:val="444088" w:themeColor="text2"/>
        <w:sz w:val="20"/>
        <w:szCs w:val="20"/>
      </w:rPr>
      <w:t>Bonaparte Basin Exploration Drilling EP</w:t>
    </w:r>
    <w:r>
      <w:rPr>
        <w:color w:val="444088" w:themeColor="text2"/>
        <w:sz w:val="20"/>
        <w:szCs w:val="20"/>
      </w:rPr>
      <w:t>: Titleholder Report on Public Comment</w:t>
    </w:r>
  </w:p>
  <w:p w14:paraId="54C232E0" w14:textId="77777777" w:rsidR="0073009F" w:rsidRDefault="0073009F">
    <w:pPr>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CB60" w14:textId="77777777" w:rsidR="0073009F" w:rsidRPr="006379E7" w:rsidRDefault="0073009F" w:rsidP="00C5044C">
    <w:pPr>
      <w:rPr>
        <w:sz w:val="18"/>
        <w:szCs w:val="18"/>
      </w:rPr>
    </w:pPr>
    <w:bookmarkStart w:id="7" w:name="bmLogo"/>
    <w:bookmarkEnd w:id="7"/>
  </w:p>
  <w:p w14:paraId="0C0815CB" w14:textId="77777777" w:rsidR="0073009F" w:rsidRPr="0051070E" w:rsidRDefault="0073009F" w:rsidP="0051070E">
    <w:pPr>
      <w:pStyle w:val="Header"/>
      <w:tabs>
        <w:tab w:val="clear" w:pos="9072"/>
        <w:tab w:val="left" w:pos="6461"/>
      </w:tabs>
      <w:jc w:val="left"/>
    </w:pPr>
    <w:r>
      <w:rPr>
        <w:noProof/>
        <w:sz w:val="18"/>
        <w:szCs w:val="18"/>
      </w:rPr>
      <w:drawing>
        <wp:anchor distT="0" distB="0" distL="114300" distR="114300" simplePos="0" relativeHeight="251658240" behindDoc="1" locked="0" layoutInCell="1" allowOverlap="1" wp14:anchorId="1846EFBF" wp14:editId="74682AF4">
          <wp:simplePos x="0" y="0"/>
          <wp:positionH relativeFrom="page">
            <wp:posOffset>1080135</wp:posOffset>
          </wp:positionH>
          <wp:positionV relativeFrom="page">
            <wp:posOffset>720090</wp:posOffset>
          </wp:positionV>
          <wp:extent cx="727200" cy="7200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PEX-1-Logo_RGB-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2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7D8B" w14:textId="77777777" w:rsidR="0073009F" w:rsidRDefault="007300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B33B" w14:textId="77777777" w:rsidR="0073009F" w:rsidRDefault="00730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897"/>
    <w:multiLevelType w:val="hybridMultilevel"/>
    <w:tmpl w:val="5FFCBDE6"/>
    <w:lvl w:ilvl="0" w:tplc="3F8C5132">
      <w:start w:val="1"/>
      <w:numFmt w:val="bullet"/>
      <w:pStyle w:val="Tablelistbullet9"/>
      <w:lvlText w:val=""/>
      <w:lvlJc w:val="left"/>
      <w:pPr>
        <w:ind w:left="417"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 w15:restartNumberingAfterBreak="0">
    <w:nsid w:val="057C140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A93650"/>
    <w:multiLevelType w:val="hybridMultilevel"/>
    <w:tmpl w:val="B9B02990"/>
    <w:lvl w:ilvl="0" w:tplc="27DEB2D4">
      <w:start w:val="1"/>
      <w:numFmt w:val="bullet"/>
      <w:pStyle w:val="Tablelistbulle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60A1"/>
    <w:multiLevelType w:val="multilevel"/>
    <w:tmpl w:val="F4087BC6"/>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Roman"/>
      <w:lvlText w:val="%5"/>
      <w:lvlJc w:val="left"/>
      <w:pPr>
        <w:tabs>
          <w:tab w:val="num" w:pos="2835"/>
        </w:tabs>
        <w:ind w:left="2835" w:hanging="567"/>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 w15:restartNumberingAfterBreak="0">
    <w:nsid w:val="1D02082D"/>
    <w:multiLevelType w:val="hybridMultilevel"/>
    <w:tmpl w:val="A5BA6A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B10B09"/>
    <w:multiLevelType w:val="multilevel"/>
    <w:tmpl w:val="00AC25D4"/>
    <w:styleLink w:val="AppendixStyle"/>
    <w:lvl w:ilvl="0">
      <w:start w:val="1"/>
      <w:numFmt w:val="upperLetter"/>
      <w:pStyle w:val="Appendix"/>
      <w:lvlText w:val="APPENDIX %1:"/>
      <w:lvlJc w:val="left"/>
      <w:pPr>
        <w:ind w:left="360" w:hanging="360"/>
      </w:pPr>
      <w:rPr>
        <w:rFonts w:hint="default"/>
      </w:rPr>
    </w:lvl>
    <w:lvl w:ilvl="1">
      <w:start w:val="1"/>
      <w:numFmt w:val="decimal"/>
      <w:pStyle w:val="AppendixSubHeading1"/>
      <w:lvlText w:val="%1.%2"/>
      <w:lvlJc w:val="left"/>
      <w:pPr>
        <w:ind w:left="357" w:hanging="357"/>
      </w:pPr>
      <w:rPr>
        <w:rFonts w:hint="default"/>
      </w:rPr>
    </w:lvl>
    <w:lvl w:ilvl="2">
      <w:start w:val="1"/>
      <w:numFmt w:val="decimal"/>
      <w:pStyle w:val="AppendixSubHeading2"/>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2EA34D1"/>
    <w:multiLevelType w:val="multilevel"/>
    <w:tmpl w:val="5D96D94E"/>
    <w:styleLink w:val="AppendixListStyle"/>
    <w:lvl w:ilvl="0">
      <w:start w:val="1"/>
      <w:numFmt w:val="upperLetter"/>
      <w:lvlText w:val="APPENDIX %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E24112"/>
    <w:multiLevelType w:val="multilevel"/>
    <w:tmpl w:val="00AC25D4"/>
    <w:numStyleLink w:val="AppendixStyle"/>
  </w:abstractNum>
  <w:abstractNum w:abstractNumId="8" w15:restartNumberingAfterBreak="0">
    <w:nsid w:val="265A02EA"/>
    <w:multiLevelType w:val="hybridMultilevel"/>
    <w:tmpl w:val="025E2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925A2F"/>
    <w:multiLevelType w:val="multilevel"/>
    <w:tmpl w:val="89CA9708"/>
    <w:styleLink w:val="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645388D"/>
    <w:multiLevelType w:val="hybridMultilevel"/>
    <w:tmpl w:val="2176F3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FA5FB0"/>
    <w:multiLevelType w:val="hybridMultilevel"/>
    <w:tmpl w:val="41445BAE"/>
    <w:lvl w:ilvl="0" w:tplc="0C090003">
      <w:start w:val="1"/>
      <w:numFmt w:val="bullet"/>
      <w:lvlText w:val="o"/>
      <w:lvlJc w:val="left"/>
      <w:pPr>
        <w:ind w:left="921" w:hanging="360"/>
      </w:pPr>
      <w:rPr>
        <w:rFonts w:ascii="Courier New" w:hAnsi="Courier New" w:cs="Courier New" w:hint="default"/>
      </w:rPr>
    </w:lvl>
    <w:lvl w:ilvl="1" w:tplc="FFFFFFFF" w:tentative="1">
      <w:start w:val="1"/>
      <w:numFmt w:val="bullet"/>
      <w:lvlText w:val="o"/>
      <w:lvlJc w:val="left"/>
      <w:pPr>
        <w:ind w:left="1641" w:hanging="360"/>
      </w:pPr>
      <w:rPr>
        <w:rFonts w:ascii="Courier New" w:hAnsi="Courier New" w:cs="Courier New" w:hint="default"/>
      </w:rPr>
    </w:lvl>
    <w:lvl w:ilvl="2" w:tplc="FFFFFFFF" w:tentative="1">
      <w:start w:val="1"/>
      <w:numFmt w:val="bullet"/>
      <w:lvlText w:val=""/>
      <w:lvlJc w:val="left"/>
      <w:pPr>
        <w:ind w:left="2361" w:hanging="360"/>
      </w:pPr>
      <w:rPr>
        <w:rFonts w:ascii="Wingdings" w:hAnsi="Wingdings" w:hint="default"/>
      </w:rPr>
    </w:lvl>
    <w:lvl w:ilvl="3" w:tplc="FFFFFFFF" w:tentative="1">
      <w:start w:val="1"/>
      <w:numFmt w:val="bullet"/>
      <w:lvlText w:val=""/>
      <w:lvlJc w:val="left"/>
      <w:pPr>
        <w:ind w:left="3081" w:hanging="360"/>
      </w:pPr>
      <w:rPr>
        <w:rFonts w:ascii="Symbol" w:hAnsi="Symbol" w:hint="default"/>
      </w:rPr>
    </w:lvl>
    <w:lvl w:ilvl="4" w:tplc="FFFFFFFF" w:tentative="1">
      <w:start w:val="1"/>
      <w:numFmt w:val="bullet"/>
      <w:lvlText w:val="o"/>
      <w:lvlJc w:val="left"/>
      <w:pPr>
        <w:ind w:left="3801" w:hanging="360"/>
      </w:pPr>
      <w:rPr>
        <w:rFonts w:ascii="Courier New" w:hAnsi="Courier New" w:cs="Courier New" w:hint="default"/>
      </w:rPr>
    </w:lvl>
    <w:lvl w:ilvl="5" w:tplc="FFFFFFFF" w:tentative="1">
      <w:start w:val="1"/>
      <w:numFmt w:val="bullet"/>
      <w:lvlText w:val=""/>
      <w:lvlJc w:val="left"/>
      <w:pPr>
        <w:ind w:left="4521" w:hanging="360"/>
      </w:pPr>
      <w:rPr>
        <w:rFonts w:ascii="Wingdings" w:hAnsi="Wingdings" w:hint="default"/>
      </w:rPr>
    </w:lvl>
    <w:lvl w:ilvl="6" w:tplc="FFFFFFFF" w:tentative="1">
      <w:start w:val="1"/>
      <w:numFmt w:val="bullet"/>
      <w:lvlText w:val=""/>
      <w:lvlJc w:val="left"/>
      <w:pPr>
        <w:ind w:left="5241" w:hanging="360"/>
      </w:pPr>
      <w:rPr>
        <w:rFonts w:ascii="Symbol" w:hAnsi="Symbol" w:hint="default"/>
      </w:rPr>
    </w:lvl>
    <w:lvl w:ilvl="7" w:tplc="FFFFFFFF" w:tentative="1">
      <w:start w:val="1"/>
      <w:numFmt w:val="bullet"/>
      <w:lvlText w:val="o"/>
      <w:lvlJc w:val="left"/>
      <w:pPr>
        <w:ind w:left="5961" w:hanging="360"/>
      </w:pPr>
      <w:rPr>
        <w:rFonts w:ascii="Courier New" w:hAnsi="Courier New" w:cs="Courier New" w:hint="default"/>
      </w:rPr>
    </w:lvl>
    <w:lvl w:ilvl="8" w:tplc="FFFFFFFF" w:tentative="1">
      <w:start w:val="1"/>
      <w:numFmt w:val="bullet"/>
      <w:lvlText w:val=""/>
      <w:lvlJc w:val="left"/>
      <w:pPr>
        <w:ind w:left="6681" w:hanging="360"/>
      </w:pPr>
      <w:rPr>
        <w:rFonts w:ascii="Wingdings" w:hAnsi="Wingdings" w:hint="default"/>
      </w:rPr>
    </w:lvl>
  </w:abstractNum>
  <w:abstractNum w:abstractNumId="12" w15:restartNumberingAfterBreak="0">
    <w:nsid w:val="39DA24DD"/>
    <w:multiLevelType w:val="hybridMultilevel"/>
    <w:tmpl w:val="C4103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02187A"/>
    <w:multiLevelType w:val="multilevel"/>
    <w:tmpl w:val="5FB636DE"/>
    <w:styleLink w:val="Style1"/>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0"/>
        </w:tabs>
        <w:ind w:left="0" w:hanging="851"/>
      </w:pPr>
      <w:rPr>
        <w:rFonts w:hint="default"/>
      </w:rPr>
    </w:lvl>
    <w:lvl w:ilvl="3">
      <w:start w:val="1"/>
      <w:numFmt w:val="none"/>
      <w:lvlRestart w:val="0"/>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bullet"/>
      <w:lvlText w:val=""/>
      <w:lvlJc w:val="left"/>
      <w:pPr>
        <w:tabs>
          <w:tab w:val="num" w:pos="283"/>
        </w:tabs>
        <w:ind w:left="283" w:hanging="283"/>
      </w:pPr>
      <w:rPr>
        <w:rFonts w:ascii="Symbol" w:hAnsi="Symbol" w:hint="default"/>
        <w:color w:val="auto"/>
      </w:rPr>
    </w:lvl>
    <w:lvl w:ilvl="6">
      <w:start w:val="1"/>
      <w:numFmt w:val="upperLetter"/>
      <w:lvlText w:val="APPENDIX %7:"/>
      <w:lvlJc w:val="left"/>
      <w:pPr>
        <w:tabs>
          <w:tab w:val="num" w:pos="283"/>
        </w:tabs>
        <w:ind w:left="283" w:hanging="283"/>
      </w:pPr>
      <w:rPr>
        <w:rFonts w:hint="default"/>
      </w:rPr>
    </w:lvl>
    <w:lvl w:ilvl="7">
      <w:start w:val="1"/>
      <w:numFmt w:val="decimal"/>
      <w:lvlText w:val="%7.%8"/>
      <w:lvlJc w:val="left"/>
      <w:pPr>
        <w:tabs>
          <w:tab w:val="num" w:pos="283"/>
        </w:tabs>
        <w:ind w:left="283" w:hanging="283"/>
      </w:pPr>
      <w:rPr>
        <w:rFonts w:hint="default"/>
      </w:rPr>
    </w:lvl>
    <w:lvl w:ilvl="8">
      <w:start w:val="1"/>
      <w:numFmt w:val="decimal"/>
      <w:lvlText w:val="%7.%8.%9"/>
      <w:lvlJc w:val="left"/>
      <w:pPr>
        <w:tabs>
          <w:tab w:val="num" w:pos="283"/>
        </w:tabs>
        <w:ind w:left="283" w:hanging="283"/>
      </w:pPr>
      <w:rPr>
        <w:rFonts w:hint="default"/>
      </w:rPr>
    </w:lvl>
  </w:abstractNum>
  <w:abstractNum w:abstractNumId="14" w15:restartNumberingAfterBreak="0">
    <w:nsid w:val="423D5E35"/>
    <w:multiLevelType w:val="multilevel"/>
    <w:tmpl w:val="F11A0066"/>
    <w:styleLink w:val="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3277C8A"/>
    <w:multiLevelType w:val="hybridMultilevel"/>
    <w:tmpl w:val="0F602E08"/>
    <w:lvl w:ilvl="0" w:tplc="033086FA">
      <w:start w:val="1"/>
      <w:numFmt w:val="bullet"/>
      <w:pStyle w:val="Tablelistbullet1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91EC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5A351C5"/>
    <w:multiLevelType w:val="hybridMultilevel"/>
    <w:tmpl w:val="7DC8EDF4"/>
    <w:lvl w:ilvl="0" w:tplc="0C090003">
      <w:start w:val="1"/>
      <w:numFmt w:val="bullet"/>
      <w:lvlText w:val="o"/>
      <w:lvlJc w:val="left"/>
      <w:pPr>
        <w:ind w:left="921" w:hanging="360"/>
      </w:pPr>
      <w:rPr>
        <w:rFonts w:ascii="Courier New" w:hAnsi="Courier New" w:cs="Courier New" w:hint="default"/>
      </w:rPr>
    </w:lvl>
    <w:lvl w:ilvl="1" w:tplc="FFFFFFFF" w:tentative="1">
      <w:start w:val="1"/>
      <w:numFmt w:val="bullet"/>
      <w:lvlText w:val="o"/>
      <w:lvlJc w:val="left"/>
      <w:pPr>
        <w:ind w:left="1641" w:hanging="360"/>
      </w:pPr>
      <w:rPr>
        <w:rFonts w:ascii="Courier New" w:hAnsi="Courier New" w:cs="Courier New" w:hint="default"/>
      </w:rPr>
    </w:lvl>
    <w:lvl w:ilvl="2" w:tplc="FFFFFFFF" w:tentative="1">
      <w:start w:val="1"/>
      <w:numFmt w:val="bullet"/>
      <w:lvlText w:val=""/>
      <w:lvlJc w:val="left"/>
      <w:pPr>
        <w:ind w:left="2361" w:hanging="360"/>
      </w:pPr>
      <w:rPr>
        <w:rFonts w:ascii="Wingdings" w:hAnsi="Wingdings" w:hint="default"/>
      </w:rPr>
    </w:lvl>
    <w:lvl w:ilvl="3" w:tplc="FFFFFFFF" w:tentative="1">
      <w:start w:val="1"/>
      <w:numFmt w:val="bullet"/>
      <w:lvlText w:val=""/>
      <w:lvlJc w:val="left"/>
      <w:pPr>
        <w:ind w:left="3081" w:hanging="360"/>
      </w:pPr>
      <w:rPr>
        <w:rFonts w:ascii="Symbol" w:hAnsi="Symbol" w:hint="default"/>
      </w:rPr>
    </w:lvl>
    <w:lvl w:ilvl="4" w:tplc="FFFFFFFF" w:tentative="1">
      <w:start w:val="1"/>
      <w:numFmt w:val="bullet"/>
      <w:lvlText w:val="o"/>
      <w:lvlJc w:val="left"/>
      <w:pPr>
        <w:ind w:left="3801" w:hanging="360"/>
      </w:pPr>
      <w:rPr>
        <w:rFonts w:ascii="Courier New" w:hAnsi="Courier New" w:cs="Courier New" w:hint="default"/>
      </w:rPr>
    </w:lvl>
    <w:lvl w:ilvl="5" w:tplc="FFFFFFFF" w:tentative="1">
      <w:start w:val="1"/>
      <w:numFmt w:val="bullet"/>
      <w:lvlText w:val=""/>
      <w:lvlJc w:val="left"/>
      <w:pPr>
        <w:ind w:left="4521" w:hanging="360"/>
      </w:pPr>
      <w:rPr>
        <w:rFonts w:ascii="Wingdings" w:hAnsi="Wingdings" w:hint="default"/>
      </w:rPr>
    </w:lvl>
    <w:lvl w:ilvl="6" w:tplc="FFFFFFFF" w:tentative="1">
      <w:start w:val="1"/>
      <w:numFmt w:val="bullet"/>
      <w:lvlText w:val=""/>
      <w:lvlJc w:val="left"/>
      <w:pPr>
        <w:ind w:left="5241" w:hanging="360"/>
      </w:pPr>
      <w:rPr>
        <w:rFonts w:ascii="Symbol" w:hAnsi="Symbol" w:hint="default"/>
      </w:rPr>
    </w:lvl>
    <w:lvl w:ilvl="7" w:tplc="FFFFFFFF" w:tentative="1">
      <w:start w:val="1"/>
      <w:numFmt w:val="bullet"/>
      <w:lvlText w:val="o"/>
      <w:lvlJc w:val="left"/>
      <w:pPr>
        <w:ind w:left="5961" w:hanging="360"/>
      </w:pPr>
      <w:rPr>
        <w:rFonts w:ascii="Courier New" w:hAnsi="Courier New" w:cs="Courier New" w:hint="default"/>
      </w:rPr>
    </w:lvl>
    <w:lvl w:ilvl="8" w:tplc="FFFFFFFF" w:tentative="1">
      <w:start w:val="1"/>
      <w:numFmt w:val="bullet"/>
      <w:lvlText w:val=""/>
      <w:lvlJc w:val="left"/>
      <w:pPr>
        <w:ind w:left="6681" w:hanging="360"/>
      </w:pPr>
      <w:rPr>
        <w:rFonts w:ascii="Wingdings" w:hAnsi="Wingdings" w:hint="default"/>
      </w:rPr>
    </w:lvl>
  </w:abstractNum>
  <w:abstractNum w:abstractNumId="18" w15:restartNumberingAfterBreak="0">
    <w:nsid w:val="4D2260DE"/>
    <w:multiLevelType w:val="hybridMultilevel"/>
    <w:tmpl w:val="F3467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D768AE"/>
    <w:multiLevelType w:val="hybridMultilevel"/>
    <w:tmpl w:val="5C3E0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42280A"/>
    <w:multiLevelType w:val="hybridMultilevel"/>
    <w:tmpl w:val="6480F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082F64"/>
    <w:multiLevelType w:val="hybridMultilevel"/>
    <w:tmpl w:val="41DC10B0"/>
    <w:lvl w:ilvl="0" w:tplc="0C090001">
      <w:start w:val="1"/>
      <w:numFmt w:val="bullet"/>
      <w:lvlText w:val=""/>
      <w:lvlJc w:val="left"/>
      <w:pPr>
        <w:ind w:left="921" w:hanging="360"/>
      </w:pPr>
      <w:rPr>
        <w:rFonts w:ascii="Symbol" w:hAnsi="Symbol"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22" w15:restartNumberingAfterBreak="0">
    <w:nsid w:val="5501423B"/>
    <w:multiLevelType w:val="multilevel"/>
    <w:tmpl w:val="BEAC6F30"/>
    <w:lvl w:ilvl="0">
      <w:start w:val="1"/>
      <w:numFmt w:val="lowerLetter"/>
      <w:pStyle w:val="ListLetter"/>
      <w:lvlText w:val="%1."/>
      <w:lvlJc w:val="left"/>
      <w:pPr>
        <w:tabs>
          <w:tab w:val="num" w:pos="360"/>
        </w:tabs>
        <w:ind w:left="360" w:hanging="360"/>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upperLetter"/>
      <w:pStyle w:val="ListNumber4"/>
      <w:lvlText w:val="(%4)"/>
      <w:lvlJc w:val="left"/>
      <w:pPr>
        <w:tabs>
          <w:tab w:val="num" w:pos="2268"/>
        </w:tabs>
        <w:ind w:left="2268" w:hanging="567"/>
      </w:pPr>
      <w:rPr>
        <w:rFonts w:hint="default"/>
      </w:rPr>
    </w:lvl>
    <w:lvl w:ilvl="4">
      <w:start w:val="1"/>
      <w:numFmt w:val="upperRoman"/>
      <w:pStyle w:val="ListNumber5"/>
      <w:lvlText w:val="(%5)"/>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23" w15:restartNumberingAfterBreak="0">
    <w:nsid w:val="58284095"/>
    <w:multiLevelType w:val="hybridMultilevel"/>
    <w:tmpl w:val="8CEA5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4D3A45"/>
    <w:multiLevelType w:val="hybridMultilevel"/>
    <w:tmpl w:val="5A1A1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AF4CA2"/>
    <w:multiLevelType w:val="hybridMultilevel"/>
    <w:tmpl w:val="DCDC7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D80FCF"/>
    <w:multiLevelType w:val="multilevel"/>
    <w:tmpl w:val="EA30DA36"/>
    <w:lvl w:ilvl="0">
      <w:start w:val="1"/>
      <w:numFmt w:val="decimal"/>
      <w:pStyle w:val="Heading1"/>
      <w:lvlText w:val="%1"/>
      <w:lvlJc w:val="left"/>
      <w:pPr>
        <w:tabs>
          <w:tab w:val="num" w:pos="0"/>
        </w:tabs>
        <w:ind w:left="0" w:hanging="851"/>
      </w:pPr>
      <w:rPr>
        <w:rFonts w:hint="default"/>
      </w:rPr>
    </w:lvl>
    <w:lvl w:ilvl="1">
      <w:start w:val="1"/>
      <w:numFmt w:val="decimal"/>
      <w:pStyle w:val="Heading2"/>
      <w:lvlText w:val="%1.%2"/>
      <w:lvlJc w:val="left"/>
      <w:pPr>
        <w:tabs>
          <w:tab w:val="num" w:pos="0"/>
        </w:tabs>
        <w:ind w:left="0" w:hanging="851"/>
      </w:pPr>
      <w:rPr>
        <w:rFonts w:hint="default"/>
      </w:rPr>
    </w:lvl>
    <w:lvl w:ilvl="2">
      <w:start w:val="1"/>
      <w:numFmt w:val="decimal"/>
      <w:pStyle w:val="Heading3"/>
      <w:lvlText w:val="%1.%2.%3"/>
      <w:lvlJc w:val="left"/>
      <w:pPr>
        <w:tabs>
          <w:tab w:val="num" w:pos="0"/>
        </w:tabs>
        <w:ind w:left="0" w:hanging="851"/>
      </w:pPr>
      <w:rPr>
        <w:rFonts w:hint="default"/>
      </w:rPr>
    </w:lvl>
    <w:lvl w:ilvl="3">
      <w:start w:val="1"/>
      <w:numFmt w:val="none"/>
      <w:lvlRestart w:val="0"/>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bullet"/>
      <w:pStyle w:val="Heading6"/>
      <w:lvlText w:val=""/>
      <w:lvlJc w:val="left"/>
      <w:pPr>
        <w:tabs>
          <w:tab w:val="num" w:pos="283"/>
        </w:tabs>
        <w:ind w:left="283" w:hanging="283"/>
      </w:pPr>
      <w:rPr>
        <w:rFonts w:ascii="Symbol" w:hAnsi="Symbol" w:hint="default"/>
        <w:color w:val="auto"/>
      </w:rPr>
    </w:lvl>
    <w:lvl w:ilvl="6">
      <w:start w:val="1"/>
      <w:numFmt w:val="upperLetter"/>
      <w:pStyle w:val="Heading7"/>
      <w:lvlText w:val="APPENDIX %7:"/>
      <w:lvlJc w:val="left"/>
      <w:pPr>
        <w:tabs>
          <w:tab w:val="num" w:pos="283"/>
        </w:tabs>
        <w:ind w:left="283" w:hanging="283"/>
      </w:pPr>
      <w:rPr>
        <w:rFonts w:hint="default"/>
      </w:rPr>
    </w:lvl>
    <w:lvl w:ilvl="7">
      <w:start w:val="1"/>
      <w:numFmt w:val="decimal"/>
      <w:pStyle w:val="Heading8"/>
      <w:lvlText w:val="%7.%8"/>
      <w:lvlJc w:val="left"/>
      <w:pPr>
        <w:tabs>
          <w:tab w:val="num" w:pos="283"/>
        </w:tabs>
        <w:ind w:left="283" w:hanging="283"/>
      </w:pPr>
      <w:rPr>
        <w:rFonts w:hint="default"/>
      </w:rPr>
    </w:lvl>
    <w:lvl w:ilvl="8">
      <w:start w:val="1"/>
      <w:numFmt w:val="decimal"/>
      <w:pStyle w:val="Heading9"/>
      <w:lvlText w:val="%7.%8.%9"/>
      <w:lvlJc w:val="left"/>
      <w:pPr>
        <w:tabs>
          <w:tab w:val="num" w:pos="283"/>
        </w:tabs>
        <w:ind w:left="283" w:hanging="283"/>
      </w:pPr>
      <w:rPr>
        <w:rFonts w:hint="default"/>
      </w:rPr>
    </w:lvl>
  </w:abstractNum>
  <w:abstractNum w:abstractNumId="27" w15:restartNumberingAfterBreak="0">
    <w:nsid w:val="5F9E6AC0"/>
    <w:multiLevelType w:val="multilevel"/>
    <w:tmpl w:val="0C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5ED72F7"/>
    <w:multiLevelType w:val="hybridMultilevel"/>
    <w:tmpl w:val="98162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FE0797"/>
    <w:multiLevelType w:val="hybridMultilevel"/>
    <w:tmpl w:val="64D2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514A98"/>
    <w:multiLevelType w:val="multilevel"/>
    <w:tmpl w:val="275A0AD2"/>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796F660B"/>
    <w:multiLevelType w:val="hybridMultilevel"/>
    <w:tmpl w:val="EC46EB5E"/>
    <w:lvl w:ilvl="0" w:tplc="0C090003">
      <w:start w:val="1"/>
      <w:numFmt w:val="bullet"/>
      <w:lvlText w:val="o"/>
      <w:lvlJc w:val="left"/>
      <w:pPr>
        <w:ind w:left="921" w:hanging="360"/>
      </w:pPr>
      <w:rPr>
        <w:rFonts w:ascii="Courier New" w:hAnsi="Courier New" w:cs="Courier New" w:hint="default"/>
      </w:rPr>
    </w:lvl>
    <w:lvl w:ilvl="1" w:tplc="FFFFFFFF" w:tentative="1">
      <w:start w:val="1"/>
      <w:numFmt w:val="bullet"/>
      <w:lvlText w:val="o"/>
      <w:lvlJc w:val="left"/>
      <w:pPr>
        <w:ind w:left="1641" w:hanging="360"/>
      </w:pPr>
      <w:rPr>
        <w:rFonts w:ascii="Courier New" w:hAnsi="Courier New" w:cs="Courier New" w:hint="default"/>
      </w:rPr>
    </w:lvl>
    <w:lvl w:ilvl="2" w:tplc="FFFFFFFF" w:tentative="1">
      <w:start w:val="1"/>
      <w:numFmt w:val="bullet"/>
      <w:lvlText w:val=""/>
      <w:lvlJc w:val="left"/>
      <w:pPr>
        <w:ind w:left="2361" w:hanging="360"/>
      </w:pPr>
      <w:rPr>
        <w:rFonts w:ascii="Wingdings" w:hAnsi="Wingdings" w:hint="default"/>
      </w:rPr>
    </w:lvl>
    <w:lvl w:ilvl="3" w:tplc="FFFFFFFF" w:tentative="1">
      <w:start w:val="1"/>
      <w:numFmt w:val="bullet"/>
      <w:lvlText w:val=""/>
      <w:lvlJc w:val="left"/>
      <w:pPr>
        <w:ind w:left="3081" w:hanging="360"/>
      </w:pPr>
      <w:rPr>
        <w:rFonts w:ascii="Symbol" w:hAnsi="Symbol" w:hint="default"/>
      </w:rPr>
    </w:lvl>
    <w:lvl w:ilvl="4" w:tplc="FFFFFFFF" w:tentative="1">
      <w:start w:val="1"/>
      <w:numFmt w:val="bullet"/>
      <w:lvlText w:val="o"/>
      <w:lvlJc w:val="left"/>
      <w:pPr>
        <w:ind w:left="3801" w:hanging="360"/>
      </w:pPr>
      <w:rPr>
        <w:rFonts w:ascii="Courier New" w:hAnsi="Courier New" w:cs="Courier New" w:hint="default"/>
      </w:rPr>
    </w:lvl>
    <w:lvl w:ilvl="5" w:tplc="FFFFFFFF" w:tentative="1">
      <w:start w:val="1"/>
      <w:numFmt w:val="bullet"/>
      <w:lvlText w:val=""/>
      <w:lvlJc w:val="left"/>
      <w:pPr>
        <w:ind w:left="4521" w:hanging="360"/>
      </w:pPr>
      <w:rPr>
        <w:rFonts w:ascii="Wingdings" w:hAnsi="Wingdings" w:hint="default"/>
      </w:rPr>
    </w:lvl>
    <w:lvl w:ilvl="6" w:tplc="FFFFFFFF" w:tentative="1">
      <w:start w:val="1"/>
      <w:numFmt w:val="bullet"/>
      <w:lvlText w:val=""/>
      <w:lvlJc w:val="left"/>
      <w:pPr>
        <w:ind w:left="5241" w:hanging="360"/>
      </w:pPr>
      <w:rPr>
        <w:rFonts w:ascii="Symbol" w:hAnsi="Symbol" w:hint="default"/>
      </w:rPr>
    </w:lvl>
    <w:lvl w:ilvl="7" w:tplc="FFFFFFFF" w:tentative="1">
      <w:start w:val="1"/>
      <w:numFmt w:val="bullet"/>
      <w:lvlText w:val="o"/>
      <w:lvlJc w:val="left"/>
      <w:pPr>
        <w:ind w:left="5961" w:hanging="360"/>
      </w:pPr>
      <w:rPr>
        <w:rFonts w:ascii="Courier New" w:hAnsi="Courier New" w:cs="Courier New" w:hint="default"/>
      </w:rPr>
    </w:lvl>
    <w:lvl w:ilvl="8" w:tplc="FFFFFFFF" w:tentative="1">
      <w:start w:val="1"/>
      <w:numFmt w:val="bullet"/>
      <w:lvlText w:val=""/>
      <w:lvlJc w:val="left"/>
      <w:pPr>
        <w:ind w:left="6681" w:hanging="360"/>
      </w:pPr>
      <w:rPr>
        <w:rFonts w:ascii="Wingdings" w:hAnsi="Wingdings" w:hint="default"/>
      </w:rPr>
    </w:lvl>
  </w:abstractNum>
  <w:abstractNum w:abstractNumId="32" w15:restartNumberingAfterBreak="0">
    <w:nsid w:val="7D807924"/>
    <w:multiLevelType w:val="hybridMultilevel"/>
    <w:tmpl w:val="416AE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00230339">
    <w:abstractNumId w:val="9"/>
  </w:num>
  <w:num w:numId="2" w16cid:durableId="1104806108">
    <w:abstractNumId w:val="14"/>
  </w:num>
  <w:num w:numId="3" w16cid:durableId="444423795">
    <w:abstractNumId w:val="16"/>
  </w:num>
  <w:num w:numId="4" w16cid:durableId="216430919">
    <w:abstractNumId w:val="1"/>
  </w:num>
  <w:num w:numId="5" w16cid:durableId="1020820525">
    <w:abstractNumId w:val="27"/>
  </w:num>
  <w:num w:numId="6" w16cid:durableId="1009483728">
    <w:abstractNumId w:val="26"/>
  </w:num>
  <w:num w:numId="7" w16cid:durableId="1870557867">
    <w:abstractNumId w:val="30"/>
  </w:num>
  <w:num w:numId="8" w16cid:durableId="545221826">
    <w:abstractNumId w:val="3"/>
  </w:num>
  <w:num w:numId="9" w16cid:durableId="517349461">
    <w:abstractNumId w:val="22"/>
  </w:num>
  <w:num w:numId="10" w16cid:durableId="383455062">
    <w:abstractNumId w:val="15"/>
  </w:num>
  <w:num w:numId="11" w16cid:durableId="1192456442">
    <w:abstractNumId w:val="2"/>
  </w:num>
  <w:num w:numId="12" w16cid:durableId="579799598">
    <w:abstractNumId w:val="0"/>
  </w:num>
  <w:num w:numId="13" w16cid:durableId="242573400">
    <w:abstractNumId w:val="13"/>
  </w:num>
  <w:num w:numId="14" w16cid:durableId="1054961738">
    <w:abstractNumId w:val="6"/>
    <w:lvlOverride w:ilvl="0">
      <w:lvl w:ilvl="0">
        <w:start w:val="1"/>
        <w:numFmt w:val="upperLetter"/>
        <w:lvlText w:val="APPENDIX %1:"/>
        <w:lvlJc w:val="left"/>
        <w:pPr>
          <w:ind w:left="360" w:hanging="360"/>
        </w:pPr>
        <w:rPr>
          <w:rFonts w:hint="default"/>
        </w:rPr>
      </w:lvl>
    </w:lvlOverride>
    <w:lvlOverride w:ilvl="1">
      <w:lvl w:ilvl="1">
        <w:start w:val="1"/>
        <w:numFmt w:val="decimal"/>
        <w:lvlText w:val="%1.%2"/>
        <w:lvlJc w:val="left"/>
        <w:pPr>
          <w:ind w:left="357" w:hanging="357"/>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53046452">
    <w:abstractNumId w:val="5"/>
  </w:num>
  <w:num w:numId="16" w16cid:durableId="1108741534">
    <w:abstractNumId w:val="6"/>
  </w:num>
  <w:num w:numId="17" w16cid:durableId="1659336564">
    <w:abstractNumId w:val="7"/>
  </w:num>
  <w:num w:numId="18" w16cid:durableId="1256011623">
    <w:abstractNumId w:val="24"/>
  </w:num>
  <w:num w:numId="19" w16cid:durableId="653804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0733650">
    <w:abstractNumId w:val="18"/>
  </w:num>
  <w:num w:numId="21" w16cid:durableId="1885558012">
    <w:abstractNumId w:val="19"/>
  </w:num>
  <w:num w:numId="22" w16cid:durableId="966080979">
    <w:abstractNumId w:val="12"/>
  </w:num>
  <w:num w:numId="23" w16cid:durableId="238759670">
    <w:abstractNumId w:val="8"/>
  </w:num>
  <w:num w:numId="24" w16cid:durableId="1414548115">
    <w:abstractNumId w:val="32"/>
  </w:num>
  <w:num w:numId="25" w16cid:durableId="1883900819">
    <w:abstractNumId w:val="29"/>
  </w:num>
  <w:num w:numId="26" w16cid:durableId="412163088">
    <w:abstractNumId w:val="28"/>
  </w:num>
  <w:num w:numId="27" w16cid:durableId="1483885224">
    <w:abstractNumId w:val="10"/>
  </w:num>
  <w:num w:numId="28" w16cid:durableId="1864316964">
    <w:abstractNumId w:val="4"/>
  </w:num>
  <w:num w:numId="29" w16cid:durableId="1980766237">
    <w:abstractNumId w:val="25"/>
  </w:num>
  <w:num w:numId="30" w16cid:durableId="1329212348">
    <w:abstractNumId w:val="21"/>
  </w:num>
  <w:num w:numId="31" w16cid:durableId="1632318689">
    <w:abstractNumId w:val="23"/>
  </w:num>
  <w:num w:numId="32" w16cid:durableId="2828370">
    <w:abstractNumId w:val="20"/>
  </w:num>
  <w:num w:numId="33" w16cid:durableId="1971785431">
    <w:abstractNumId w:val="31"/>
  </w:num>
  <w:num w:numId="34" w16cid:durableId="1608384761">
    <w:abstractNumId w:val="17"/>
  </w:num>
  <w:num w:numId="35" w16cid:durableId="139211607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formatting="1" w:enforcement="0"/>
  <w:defaultTabStop w:val="561"/>
  <w:drawingGridHorizontalSpacing w:val="100"/>
  <w:displayHorizontalDrawingGridEvery w:val="2"/>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C1"/>
    <w:rsid w:val="0000040E"/>
    <w:rsid w:val="00001687"/>
    <w:rsid w:val="00001915"/>
    <w:rsid w:val="00002C95"/>
    <w:rsid w:val="00002DF7"/>
    <w:rsid w:val="00004366"/>
    <w:rsid w:val="00005B86"/>
    <w:rsid w:val="00005EC1"/>
    <w:rsid w:val="0000665E"/>
    <w:rsid w:val="000070DA"/>
    <w:rsid w:val="00007234"/>
    <w:rsid w:val="000072BB"/>
    <w:rsid w:val="0001041B"/>
    <w:rsid w:val="000115D5"/>
    <w:rsid w:val="000121F3"/>
    <w:rsid w:val="0001236D"/>
    <w:rsid w:val="00012A15"/>
    <w:rsid w:val="00013402"/>
    <w:rsid w:val="000147BD"/>
    <w:rsid w:val="00014918"/>
    <w:rsid w:val="00015659"/>
    <w:rsid w:val="000159CE"/>
    <w:rsid w:val="000160C5"/>
    <w:rsid w:val="000164CA"/>
    <w:rsid w:val="00016BBD"/>
    <w:rsid w:val="00016F49"/>
    <w:rsid w:val="0001787C"/>
    <w:rsid w:val="00021115"/>
    <w:rsid w:val="000211C3"/>
    <w:rsid w:val="000215CD"/>
    <w:rsid w:val="000216B3"/>
    <w:rsid w:val="0002238A"/>
    <w:rsid w:val="00022C4A"/>
    <w:rsid w:val="000240A0"/>
    <w:rsid w:val="0002458D"/>
    <w:rsid w:val="00025034"/>
    <w:rsid w:val="0002616B"/>
    <w:rsid w:val="000262B6"/>
    <w:rsid w:val="0002635A"/>
    <w:rsid w:val="0002699F"/>
    <w:rsid w:val="0002728D"/>
    <w:rsid w:val="00030610"/>
    <w:rsid w:val="00030B8B"/>
    <w:rsid w:val="000336FA"/>
    <w:rsid w:val="00034BA7"/>
    <w:rsid w:val="00034E2D"/>
    <w:rsid w:val="00035AFA"/>
    <w:rsid w:val="00036A76"/>
    <w:rsid w:val="000401D8"/>
    <w:rsid w:val="00040393"/>
    <w:rsid w:val="00040527"/>
    <w:rsid w:val="000408C4"/>
    <w:rsid w:val="0004162D"/>
    <w:rsid w:val="0004241D"/>
    <w:rsid w:val="00042853"/>
    <w:rsid w:val="00043458"/>
    <w:rsid w:val="000434E2"/>
    <w:rsid w:val="00044E8D"/>
    <w:rsid w:val="00045743"/>
    <w:rsid w:val="00045A9F"/>
    <w:rsid w:val="00045DF5"/>
    <w:rsid w:val="0004620A"/>
    <w:rsid w:val="000463AD"/>
    <w:rsid w:val="000469CA"/>
    <w:rsid w:val="00046C9E"/>
    <w:rsid w:val="00046DF5"/>
    <w:rsid w:val="00047752"/>
    <w:rsid w:val="00047F48"/>
    <w:rsid w:val="000510A0"/>
    <w:rsid w:val="00051123"/>
    <w:rsid w:val="000515C0"/>
    <w:rsid w:val="000517DF"/>
    <w:rsid w:val="00051B37"/>
    <w:rsid w:val="00051FAF"/>
    <w:rsid w:val="000532E6"/>
    <w:rsid w:val="000541CA"/>
    <w:rsid w:val="0005455A"/>
    <w:rsid w:val="00054B60"/>
    <w:rsid w:val="00055E3E"/>
    <w:rsid w:val="00055F69"/>
    <w:rsid w:val="00056D1E"/>
    <w:rsid w:val="00056F7B"/>
    <w:rsid w:val="000572BF"/>
    <w:rsid w:val="00057477"/>
    <w:rsid w:val="00057A94"/>
    <w:rsid w:val="00060395"/>
    <w:rsid w:val="000605FF"/>
    <w:rsid w:val="00060CD6"/>
    <w:rsid w:val="00061B89"/>
    <w:rsid w:val="00061EA8"/>
    <w:rsid w:val="000629FC"/>
    <w:rsid w:val="00062C9B"/>
    <w:rsid w:val="00062E95"/>
    <w:rsid w:val="00062EAB"/>
    <w:rsid w:val="000636C6"/>
    <w:rsid w:val="00063E73"/>
    <w:rsid w:val="00063EB1"/>
    <w:rsid w:val="0006411C"/>
    <w:rsid w:val="000644C4"/>
    <w:rsid w:val="00066125"/>
    <w:rsid w:val="00066B28"/>
    <w:rsid w:val="000672EA"/>
    <w:rsid w:val="000676CF"/>
    <w:rsid w:val="00067EAC"/>
    <w:rsid w:val="0007039F"/>
    <w:rsid w:val="000703C6"/>
    <w:rsid w:val="00070E33"/>
    <w:rsid w:val="00071F81"/>
    <w:rsid w:val="000722C3"/>
    <w:rsid w:val="00072EF2"/>
    <w:rsid w:val="000730A2"/>
    <w:rsid w:val="00073A47"/>
    <w:rsid w:val="000744AE"/>
    <w:rsid w:val="00074788"/>
    <w:rsid w:val="00074D8C"/>
    <w:rsid w:val="000758E8"/>
    <w:rsid w:val="00075DD8"/>
    <w:rsid w:val="00076ECA"/>
    <w:rsid w:val="00077354"/>
    <w:rsid w:val="00080A0D"/>
    <w:rsid w:val="00080F41"/>
    <w:rsid w:val="00081275"/>
    <w:rsid w:val="00082562"/>
    <w:rsid w:val="00082948"/>
    <w:rsid w:val="00082BDA"/>
    <w:rsid w:val="0008336B"/>
    <w:rsid w:val="00084FEC"/>
    <w:rsid w:val="0008543E"/>
    <w:rsid w:val="00085743"/>
    <w:rsid w:val="00086976"/>
    <w:rsid w:val="0008734B"/>
    <w:rsid w:val="00087733"/>
    <w:rsid w:val="00087C20"/>
    <w:rsid w:val="0009023F"/>
    <w:rsid w:val="00090D22"/>
    <w:rsid w:val="00090D7A"/>
    <w:rsid w:val="0009136B"/>
    <w:rsid w:val="0009174E"/>
    <w:rsid w:val="00092066"/>
    <w:rsid w:val="00092258"/>
    <w:rsid w:val="00092746"/>
    <w:rsid w:val="00092CC9"/>
    <w:rsid w:val="000942AD"/>
    <w:rsid w:val="000957C0"/>
    <w:rsid w:val="00095BB8"/>
    <w:rsid w:val="00095F14"/>
    <w:rsid w:val="00096066"/>
    <w:rsid w:val="00096A9D"/>
    <w:rsid w:val="000A08EA"/>
    <w:rsid w:val="000A0973"/>
    <w:rsid w:val="000A0AA7"/>
    <w:rsid w:val="000A2639"/>
    <w:rsid w:val="000A28B8"/>
    <w:rsid w:val="000A45EE"/>
    <w:rsid w:val="000A511E"/>
    <w:rsid w:val="000A52CB"/>
    <w:rsid w:val="000A5751"/>
    <w:rsid w:val="000A65B0"/>
    <w:rsid w:val="000A6CAE"/>
    <w:rsid w:val="000A6EC4"/>
    <w:rsid w:val="000A7FFC"/>
    <w:rsid w:val="000B007D"/>
    <w:rsid w:val="000B01CB"/>
    <w:rsid w:val="000B05C5"/>
    <w:rsid w:val="000B1B2F"/>
    <w:rsid w:val="000B1E33"/>
    <w:rsid w:val="000B1ECF"/>
    <w:rsid w:val="000B30E0"/>
    <w:rsid w:val="000B410A"/>
    <w:rsid w:val="000B4D7B"/>
    <w:rsid w:val="000B4D8B"/>
    <w:rsid w:val="000B5155"/>
    <w:rsid w:val="000B5BC1"/>
    <w:rsid w:val="000B6019"/>
    <w:rsid w:val="000B6251"/>
    <w:rsid w:val="000B6503"/>
    <w:rsid w:val="000B75B8"/>
    <w:rsid w:val="000B7723"/>
    <w:rsid w:val="000C01DA"/>
    <w:rsid w:val="000C0CB8"/>
    <w:rsid w:val="000C171F"/>
    <w:rsid w:val="000C1DEF"/>
    <w:rsid w:val="000C2A25"/>
    <w:rsid w:val="000C2F08"/>
    <w:rsid w:val="000C464C"/>
    <w:rsid w:val="000C4996"/>
    <w:rsid w:val="000C4D45"/>
    <w:rsid w:val="000C5AEC"/>
    <w:rsid w:val="000C5BC7"/>
    <w:rsid w:val="000C5BDB"/>
    <w:rsid w:val="000C5C70"/>
    <w:rsid w:val="000C6057"/>
    <w:rsid w:val="000C6F21"/>
    <w:rsid w:val="000C70F7"/>
    <w:rsid w:val="000C7B1C"/>
    <w:rsid w:val="000C7D23"/>
    <w:rsid w:val="000D040D"/>
    <w:rsid w:val="000D04AB"/>
    <w:rsid w:val="000D06EC"/>
    <w:rsid w:val="000D12F0"/>
    <w:rsid w:val="000D18DC"/>
    <w:rsid w:val="000D2376"/>
    <w:rsid w:val="000D23AB"/>
    <w:rsid w:val="000D2F30"/>
    <w:rsid w:val="000D3094"/>
    <w:rsid w:val="000D31D3"/>
    <w:rsid w:val="000D32B9"/>
    <w:rsid w:val="000D3432"/>
    <w:rsid w:val="000D364D"/>
    <w:rsid w:val="000D366A"/>
    <w:rsid w:val="000D3C36"/>
    <w:rsid w:val="000D3D79"/>
    <w:rsid w:val="000D45C1"/>
    <w:rsid w:val="000D5439"/>
    <w:rsid w:val="000D54EE"/>
    <w:rsid w:val="000D7A52"/>
    <w:rsid w:val="000E0732"/>
    <w:rsid w:val="000E15C4"/>
    <w:rsid w:val="000E16E4"/>
    <w:rsid w:val="000E185B"/>
    <w:rsid w:val="000E1E71"/>
    <w:rsid w:val="000E3904"/>
    <w:rsid w:val="000E3B0D"/>
    <w:rsid w:val="000E4193"/>
    <w:rsid w:val="000E4560"/>
    <w:rsid w:val="000E466F"/>
    <w:rsid w:val="000E553F"/>
    <w:rsid w:val="000E59C5"/>
    <w:rsid w:val="000E6521"/>
    <w:rsid w:val="000E6B08"/>
    <w:rsid w:val="000E6BF5"/>
    <w:rsid w:val="000E7594"/>
    <w:rsid w:val="000E7620"/>
    <w:rsid w:val="000E78E7"/>
    <w:rsid w:val="000E7BCC"/>
    <w:rsid w:val="000F0A0C"/>
    <w:rsid w:val="000F1ACF"/>
    <w:rsid w:val="000F2C48"/>
    <w:rsid w:val="000F3831"/>
    <w:rsid w:val="000F48CA"/>
    <w:rsid w:val="000F4A18"/>
    <w:rsid w:val="000F4B84"/>
    <w:rsid w:val="000F4CCE"/>
    <w:rsid w:val="000F5366"/>
    <w:rsid w:val="000F548A"/>
    <w:rsid w:val="000F5CE1"/>
    <w:rsid w:val="000F62DC"/>
    <w:rsid w:val="000F6457"/>
    <w:rsid w:val="000F6F4A"/>
    <w:rsid w:val="000F7D52"/>
    <w:rsid w:val="00100014"/>
    <w:rsid w:val="00101224"/>
    <w:rsid w:val="0010130C"/>
    <w:rsid w:val="001025B3"/>
    <w:rsid w:val="0010283B"/>
    <w:rsid w:val="0010316B"/>
    <w:rsid w:val="001036F6"/>
    <w:rsid w:val="001039B2"/>
    <w:rsid w:val="00103D13"/>
    <w:rsid w:val="00103E31"/>
    <w:rsid w:val="001048E7"/>
    <w:rsid w:val="001052EE"/>
    <w:rsid w:val="00105BAF"/>
    <w:rsid w:val="00106181"/>
    <w:rsid w:val="001062CB"/>
    <w:rsid w:val="0010674F"/>
    <w:rsid w:val="00106879"/>
    <w:rsid w:val="00106A0B"/>
    <w:rsid w:val="00106EC9"/>
    <w:rsid w:val="00110076"/>
    <w:rsid w:val="00111502"/>
    <w:rsid w:val="00111BBF"/>
    <w:rsid w:val="00111DE2"/>
    <w:rsid w:val="00112DEF"/>
    <w:rsid w:val="0011383F"/>
    <w:rsid w:val="00113DE0"/>
    <w:rsid w:val="00114044"/>
    <w:rsid w:val="00114BFC"/>
    <w:rsid w:val="00115949"/>
    <w:rsid w:val="00116081"/>
    <w:rsid w:val="001160A5"/>
    <w:rsid w:val="001177FD"/>
    <w:rsid w:val="00117B8C"/>
    <w:rsid w:val="00117BB2"/>
    <w:rsid w:val="0012098B"/>
    <w:rsid w:val="00120DF0"/>
    <w:rsid w:val="00121154"/>
    <w:rsid w:val="001213DD"/>
    <w:rsid w:val="001219DC"/>
    <w:rsid w:val="00121C15"/>
    <w:rsid w:val="00121E1C"/>
    <w:rsid w:val="00122E5F"/>
    <w:rsid w:val="00122F62"/>
    <w:rsid w:val="001233C6"/>
    <w:rsid w:val="00123D21"/>
    <w:rsid w:val="00124603"/>
    <w:rsid w:val="0012563E"/>
    <w:rsid w:val="00126326"/>
    <w:rsid w:val="00127077"/>
    <w:rsid w:val="0012765F"/>
    <w:rsid w:val="001277FB"/>
    <w:rsid w:val="00127A88"/>
    <w:rsid w:val="00130E5E"/>
    <w:rsid w:val="00131E44"/>
    <w:rsid w:val="0013220B"/>
    <w:rsid w:val="001324C9"/>
    <w:rsid w:val="001330DD"/>
    <w:rsid w:val="00133855"/>
    <w:rsid w:val="00134424"/>
    <w:rsid w:val="001344F6"/>
    <w:rsid w:val="00136099"/>
    <w:rsid w:val="0013628B"/>
    <w:rsid w:val="00137AE4"/>
    <w:rsid w:val="00140C07"/>
    <w:rsid w:val="00141B15"/>
    <w:rsid w:val="00141DB4"/>
    <w:rsid w:val="00142409"/>
    <w:rsid w:val="0014377F"/>
    <w:rsid w:val="001437B7"/>
    <w:rsid w:val="001452A1"/>
    <w:rsid w:val="001456E2"/>
    <w:rsid w:val="0014616E"/>
    <w:rsid w:val="001469CF"/>
    <w:rsid w:val="00146E85"/>
    <w:rsid w:val="00147756"/>
    <w:rsid w:val="00147B86"/>
    <w:rsid w:val="00147E8C"/>
    <w:rsid w:val="00147F73"/>
    <w:rsid w:val="00150021"/>
    <w:rsid w:val="00150079"/>
    <w:rsid w:val="001506C6"/>
    <w:rsid w:val="001509B1"/>
    <w:rsid w:val="0015111F"/>
    <w:rsid w:val="00151F10"/>
    <w:rsid w:val="00152075"/>
    <w:rsid w:val="00152AC4"/>
    <w:rsid w:val="00153856"/>
    <w:rsid w:val="001541FD"/>
    <w:rsid w:val="00154FFC"/>
    <w:rsid w:val="0015532F"/>
    <w:rsid w:val="00155756"/>
    <w:rsid w:val="001564CA"/>
    <w:rsid w:val="00156C91"/>
    <w:rsid w:val="00156FC7"/>
    <w:rsid w:val="00157152"/>
    <w:rsid w:val="00157A36"/>
    <w:rsid w:val="00157BB8"/>
    <w:rsid w:val="00160998"/>
    <w:rsid w:val="00161926"/>
    <w:rsid w:val="00161C8E"/>
    <w:rsid w:val="001623C3"/>
    <w:rsid w:val="001627E4"/>
    <w:rsid w:val="00162CDD"/>
    <w:rsid w:val="00162D92"/>
    <w:rsid w:val="001634B5"/>
    <w:rsid w:val="00163EE5"/>
    <w:rsid w:val="00164105"/>
    <w:rsid w:val="00164454"/>
    <w:rsid w:val="00165296"/>
    <w:rsid w:val="001658B0"/>
    <w:rsid w:val="001678A7"/>
    <w:rsid w:val="00167DAE"/>
    <w:rsid w:val="001700F7"/>
    <w:rsid w:val="00171833"/>
    <w:rsid w:val="00171BE9"/>
    <w:rsid w:val="00171C9A"/>
    <w:rsid w:val="00173CDA"/>
    <w:rsid w:val="00173DD8"/>
    <w:rsid w:val="00174745"/>
    <w:rsid w:val="00174ACF"/>
    <w:rsid w:val="0017539F"/>
    <w:rsid w:val="001753A4"/>
    <w:rsid w:val="00175454"/>
    <w:rsid w:val="00176981"/>
    <w:rsid w:val="00176EB8"/>
    <w:rsid w:val="0017705D"/>
    <w:rsid w:val="0017732D"/>
    <w:rsid w:val="00180722"/>
    <w:rsid w:val="0018085B"/>
    <w:rsid w:val="00181323"/>
    <w:rsid w:val="00181A53"/>
    <w:rsid w:val="00182B35"/>
    <w:rsid w:val="00183339"/>
    <w:rsid w:val="00183A4E"/>
    <w:rsid w:val="00183CC6"/>
    <w:rsid w:val="00183DAD"/>
    <w:rsid w:val="0018402C"/>
    <w:rsid w:val="001840BC"/>
    <w:rsid w:val="00185024"/>
    <w:rsid w:val="00185551"/>
    <w:rsid w:val="0018582F"/>
    <w:rsid w:val="0018583D"/>
    <w:rsid w:val="00186280"/>
    <w:rsid w:val="00186478"/>
    <w:rsid w:val="001919E3"/>
    <w:rsid w:val="00191D5C"/>
    <w:rsid w:val="00192453"/>
    <w:rsid w:val="001926EA"/>
    <w:rsid w:val="00192C1F"/>
    <w:rsid w:val="00192C7F"/>
    <w:rsid w:val="00193F99"/>
    <w:rsid w:val="00193F9F"/>
    <w:rsid w:val="00193FDD"/>
    <w:rsid w:val="00194BF9"/>
    <w:rsid w:val="00194D35"/>
    <w:rsid w:val="00195946"/>
    <w:rsid w:val="00196010"/>
    <w:rsid w:val="00196252"/>
    <w:rsid w:val="001962D0"/>
    <w:rsid w:val="001975BC"/>
    <w:rsid w:val="001A09CB"/>
    <w:rsid w:val="001A2FFF"/>
    <w:rsid w:val="001A313D"/>
    <w:rsid w:val="001A329D"/>
    <w:rsid w:val="001A3B03"/>
    <w:rsid w:val="001A3BE3"/>
    <w:rsid w:val="001A5459"/>
    <w:rsid w:val="001A5E73"/>
    <w:rsid w:val="001A6147"/>
    <w:rsid w:val="001A6FC4"/>
    <w:rsid w:val="001A7447"/>
    <w:rsid w:val="001A757C"/>
    <w:rsid w:val="001A7E84"/>
    <w:rsid w:val="001B05D2"/>
    <w:rsid w:val="001B0EE6"/>
    <w:rsid w:val="001B102F"/>
    <w:rsid w:val="001B1CDE"/>
    <w:rsid w:val="001B227A"/>
    <w:rsid w:val="001B2496"/>
    <w:rsid w:val="001B326E"/>
    <w:rsid w:val="001B4207"/>
    <w:rsid w:val="001B49AA"/>
    <w:rsid w:val="001B4CB6"/>
    <w:rsid w:val="001B558A"/>
    <w:rsid w:val="001B58B1"/>
    <w:rsid w:val="001B5C9D"/>
    <w:rsid w:val="001B619B"/>
    <w:rsid w:val="001B6A86"/>
    <w:rsid w:val="001B6AEA"/>
    <w:rsid w:val="001B7197"/>
    <w:rsid w:val="001B7A27"/>
    <w:rsid w:val="001B7A89"/>
    <w:rsid w:val="001C0000"/>
    <w:rsid w:val="001C0073"/>
    <w:rsid w:val="001C08C4"/>
    <w:rsid w:val="001C1386"/>
    <w:rsid w:val="001C1D01"/>
    <w:rsid w:val="001C1E5C"/>
    <w:rsid w:val="001C265A"/>
    <w:rsid w:val="001C2AED"/>
    <w:rsid w:val="001C2F2E"/>
    <w:rsid w:val="001C32F8"/>
    <w:rsid w:val="001C49B3"/>
    <w:rsid w:val="001C49C9"/>
    <w:rsid w:val="001C5525"/>
    <w:rsid w:val="001C6AFB"/>
    <w:rsid w:val="001D009A"/>
    <w:rsid w:val="001D0B93"/>
    <w:rsid w:val="001D0BBB"/>
    <w:rsid w:val="001D0DD1"/>
    <w:rsid w:val="001D12CA"/>
    <w:rsid w:val="001D1CA7"/>
    <w:rsid w:val="001D286D"/>
    <w:rsid w:val="001D2FF3"/>
    <w:rsid w:val="001D3122"/>
    <w:rsid w:val="001D36F2"/>
    <w:rsid w:val="001D3C50"/>
    <w:rsid w:val="001D3DD3"/>
    <w:rsid w:val="001D402C"/>
    <w:rsid w:val="001D487A"/>
    <w:rsid w:val="001D50C9"/>
    <w:rsid w:val="001D5730"/>
    <w:rsid w:val="001D5734"/>
    <w:rsid w:val="001D5A78"/>
    <w:rsid w:val="001D5CA4"/>
    <w:rsid w:val="001D6B56"/>
    <w:rsid w:val="001D6E73"/>
    <w:rsid w:val="001D7420"/>
    <w:rsid w:val="001E051C"/>
    <w:rsid w:val="001E18AA"/>
    <w:rsid w:val="001E22F9"/>
    <w:rsid w:val="001E26A9"/>
    <w:rsid w:val="001E4B89"/>
    <w:rsid w:val="001E62D3"/>
    <w:rsid w:val="001E6A81"/>
    <w:rsid w:val="001F0B71"/>
    <w:rsid w:val="001F0D68"/>
    <w:rsid w:val="001F1DDD"/>
    <w:rsid w:val="001F25F8"/>
    <w:rsid w:val="001F2B76"/>
    <w:rsid w:val="001F32BA"/>
    <w:rsid w:val="001F4453"/>
    <w:rsid w:val="001F55FD"/>
    <w:rsid w:val="001F5696"/>
    <w:rsid w:val="001F5810"/>
    <w:rsid w:val="001F5BA3"/>
    <w:rsid w:val="001F5E6C"/>
    <w:rsid w:val="001F63F2"/>
    <w:rsid w:val="001F6764"/>
    <w:rsid w:val="001F743A"/>
    <w:rsid w:val="001F7E33"/>
    <w:rsid w:val="00200401"/>
    <w:rsid w:val="00200754"/>
    <w:rsid w:val="00200A2B"/>
    <w:rsid w:val="00201252"/>
    <w:rsid w:val="002027F6"/>
    <w:rsid w:val="002031E4"/>
    <w:rsid w:val="0020320F"/>
    <w:rsid w:val="00203BCA"/>
    <w:rsid w:val="00204D4C"/>
    <w:rsid w:val="002057F9"/>
    <w:rsid w:val="00206909"/>
    <w:rsid w:val="00206A8B"/>
    <w:rsid w:val="00207968"/>
    <w:rsid w:val="00210029"/>
    <w:rsid w:val="00210267"/>
    <w:rsid w:val="00210563"/>
    <w:rsid w:val="00210CBA"/>
    <w:rsid w:val="00211371"/>
    <w:rsid w:val="00212384"/>
    <w:rsid w:val="00212E54"/>
    <w:rsid w:val="002137FC"/>
    <w:rsid w:val="00213F98"/>
    <w:rsid w:val="00214741"/>
    <w:rsid w:val="00214CDA"/>
    <w:rsid w:val="0021503F"/>
    <w:rsid w:val="00215D9C"/>
    <w:rsid w:val="00216411"/>
    <w:rsid w:val="00216B91"/>
    <w:rsid w:val="00216BE0"/>
    <w:rsid w:val="002201EE"/>
    <w:rsid w:val="00220544"/>
    <w:rsid w:val="00222334"/>
    <w:rsid w:val="00223A9F"/>
    <w:rsid w:val="0022447E"/>
    <w:rsid w:val="002247FE"/>
    <w:rsid w:val="0022608D"/>
    <w:rsid w:val="00226E82"/>
    <w:rsid w:val="00230426"/>
    <w:rsid w:val="00230DB9"/>
    <w:rsid w:val="00230F8A"/>
    <w:rsid w:val="00230F98"/>
    <w:rsid w:val="00230FC4"/>
    <w:rsid w:val="0023133D"/>
    <w:rsid w:val="002314E5"/>
    <w:rsid w:val="002316D5"/>
    <w:rsid w:val="0023179C"/>
    <w:rsid w:val="002317A2"/>
    <w:rsid w:val="00231913"/>
    <w:rsid w:val="0023199D"/>
    <w:rsid w:val="00231D96"/>
    <w:rsid w:val="00232423"/>
    <w:rsid w:val="00232489"/>
    <w:rsid w:val="00232696"/>
    <w:rsid w:val="00234872"/>
    <w:rsid w:val="002349DE"/>
    <w:rsid w:val="0023500E"/>
    <w:rsid w:val="0023770F"/>
    <w:rsid w:val="00237BCF"/>
    <w:rsid w:val="00237DEA"/>
    <w:rsid w:val="00240901"/>
    <w:rsid w:val="00241266"/>
    <w:rsid w:val="00242236"/>
    <w:rsid w:val="00242EFD"/>
    <w:rsid w:val="00243285"/>
    <w:rsid w:val="002435B8"/>
    <w:rsid w:val="00244AD1"/>
    <w:rsid w:val="00245376"/>
    <w:rsid w:val="00246676"/>
    <w:rsid w:val="00246AE6"/>
    <w:rsid w:val="002471EB"/>
    <w:rsid w:val="002471F8"/>
    <w:rsid w:val="0024768B"/>
    <w:rsid w:val="0025031E"/>
    <w:rsid w:val="0025265A"/>
    <w:rsid w:val="0025319A"/>
    <w:rsid w:val="0025345D"/>
    <w:rsid w:val="00253D78"/>
    <w:rsid w:val="00254E6A"/>
    <w:rsid w:val="002550A2"/>
    <w:rsid w:val="0025530D"/>
    <w:rsid w:val="00256636"/>
    <w:rsid w:val="002566BF"/>
    <w:rsid w:val="00256C18"/>
    <w:rsid w:val="00256C9C"/>
    <w:rsid w:val="0025729D"/>
    <w:rsid w:val="00257F51"/>
    <w:rsid w:val="00260384"/>
    <w:rsid w:val="002605FE"/>
    <w:rsid w:val="00260C43"/>
    <w:rsid w:val="00261177"/>
    <w:rsid w:val="002619AE"/>
    <w:rsid w:val="0026219B"/>
    <w:rsid w:val="00262410"/>
    <w:rsid w:val="0026246E"/>
    <w:rsid w:val="002625A8"/>
    <w:rsid w:val="00262C1C"/>
    <w:rsid w:val="00262D24"/>
    <w:rsid w:val="00262E4E"/>
    <w:rsid w:val="00263603"/>
    <w:rsid w:val="00263C1A"/>
    <w:rsid w:val="00264353"/>
    <w:rsid w:val="00265F03"/>
    <w:rsid w:val="00266D2F"/>
    <w:rsid w:val="00266EEF"/>
    <w:rsid w:val="00270793"/>
    <w:rsid w:val="00270DA1"/>
    <w:rsid w:val="002714B8"/>
    <w:rsid w:val="00272658"/>
    <w:rsid w:val="0027278A"/>
    <w:rsid w:val="002729B5"/>
    <w:rsid w:val="00272C4B"/>
    <w:rsid w:val="00272E52"/>
    <w:rsid w:val="00272FAE"/>
    <w:rsid w:val="0027342D"/>
    <w:rsid w:val="00273833"/>
    <w:rsid w:val="00273B08"/>
    <w:rsid w:val="00273BE5"/>
    <w:rsid w:val="00274909"/>
    <w:rsid w:val="002754F7"/>
    <w:rsid w:val="00276A02"/>
    <w:rsid w:val="00277393"/>
    <w:rsid w:val="002774C1"/>
    <w:rsid w:val="00277B84"/>
    <w:rsid w:val="002807DD"/>
    <w:rsid w:val="00280B4A"/>
    <w:rsid w:val="0028120B"/>
    <w:rsid w:val="00281B3C"/>
    <w:rsid w:val="00282107"/>
    <w:rsid w:val="0028299C"/>
    <w:rsid w:val="002835C8"/>
    <w:rsid w:val="00284519"/>
    <w:rsid w:val="002848A7"/>
    <w:rsid w:val="00284DE1"/>
    <w:rsid w:val="00285E5B"/>
    <w:rsid w:val="0028619E"/>
    <w:rsid w:val="0028623B"/>
    <w:rsid w:val="00286539"/>
    <w:rsid w:val="002867C7"/>
    <w:rsid w:val="00286CF3"/>
    <w:rsid w:val="00287452"/>
    <w:rsid w:val="00287CA9"/>
    <w:rsid w:val="002900E0"/>
    <w:rsid w:val="002904B9"/>
    <w:rsid w:val="002909B5"/>
    <w:rsid w:val="00291C43"/>
    <w:rsid w:val="00292B1C"/>
    <w:rsid w:val="00293363"/>
    <w:rsid w:val="00294C89"/>
    <w:rsid w:val="002955A8"/>
    <w:rsid w:val="002967BB"/>
    <w:rsid w:val="00296D1A"/>
    <w:rsid w:val="002973B6"/>
    <w:rsid w:val="00297562"/>
    <w:rsid w:val="00297A5F"/>
    <w:rsid w:val="00297C10"/>
    <w:rsid w:val="002A05C9"/>
    <w:rsid w:val="002A0F8E"/>
    <w:rsid w:val="002A1219"/>
    <w:rsid w:val="002A1503"/>
    <w:rsid w:val="002A1600"/>
    <w:rsid w:val="002A1645"/>
    <w:rsid w:val="002A169B"/>
    <w:rsid w:val="002A18E6"/>
    <w:rsid w:val="002A24A6"/>
    <w:rsid w:val="002A293A"/>
    <w:rsid w:val="002A2EB1"/>
    <w:rsid w:val="002A3894"/>
    <w:rsid w:val="002A3CB1"/>
    <w:rsid w:val="002A42B6"/>
    <w:rsid w:val="002A4760"/>
    <w:rsid w:val="002A4A2C"/>
    <w:rsid w:val="002A650A"/>
    <w:rsid w:val="002A7722"/>
    <w:rsid w:val="002A7A13"/>
    <w:rsid w:val="002A7D35"/>
    <w:rsid w:val="002B024C"/>
    <w:rsid w:val="002B2741"/>
    <w:rsid w:val="002B29F3"/>
    <w:rsid w:val="002B42FD"/>
    <w:rsid w:val="002B476D"/>
    <w:rsid w:val="002B58F9"/>
    <w:rsid w:val="002B62C7"/>
    <w:rsid w:val="002B64C0"/>
    <w:rsid w:val="002B71ED"/>
    <w:rsid w:val="002B74BC"/>
    <w:rsid w:val="002B762B"/>
    <w:rsid w:val="002B7E9D"/>
    <w:rsid w:val="002C1685"/>
    <w:rsid w:val="002C204D"/>
    <w:rsid w:val="002C217B"/>
    <w:rsid w:val="002C288B"/>
    <w:rsid w:val="002C2C0E"/>
    <w:rsid w:val="002C4109"/>
    <w:rsid w:val="002C5259"/>
    <w:rsid w:val="002C5587"/>
    <w:rsid w:val="002C55F0"/>
    <w:rsid w:val="002C67A2"/>
    <w:rsid w:val="002C700F"/>
    <w:rsid w:val="002C75EA"/>
    <w:rsid w:val="002C79FB"/>
    <w:rsid w:val="002D090D"/>
    <w:rsid w:val="002D0CCA"/>
    <w:rsid w:val="002D0E24"/>
    <w:rsid w:val="002D12BF"/>
    <w:rsid w:val="002D140C"/>
    <w:rsid w:val="002D1902"/>
    <w:rsid w:val="002D1CC9"/>
    <w:rsid w:val="002D2447"/>
    <w:rsid w:val="002D2489"/>
    <w:rsid w:val="002D3034"/>
    <w:rsid w:val="002D57BC"/>
    <w:rsid w:val="002D5839"/>
    <w:rsid w:val="002D5891"/>
    <w:rsid w:val="002D7EDD"/>
    <w:rsid w:val="002E0654"/>
    <w:rsid w:val="002E07C5"/>
    <w:rsid w:val="002E0C58"/>
    <w:rsid w:val="002E12AB"/>
    <w:rsid w:val="002E2138"/>
    <w:rsid w:val="002E225E"/>
    <w:rsid w:val="002E2399"/>
    <w:rsid w:val="002E263C"/>
    <w:rsid w:val="002E26C1"/>
    <w:rsid w:val="002E2E7E"/>
    <w:rsid w:val="002E3441"/>
    <w:rsid w:val="002E3659"/>
    <w:rsid w:val="002E368C"/>
    <w:rsid w:val="002E411B"/>
    <w:rsid w:val="002E45C1"/>
    <w:rsid w:val="002E5397"/>
    <w:rsid w:val="002E56B5"/>
    <w:rsid w:val="002E6201"/>
    <w:rsid w:val="002E6F49"/>
    <w:rsid w:val="002E704D"/>
    <w:rsid w:val="002E751D"/>
    <w:rsid w:val="002E75D4"/>
    <w:rsid w:val="002E7FA5"/>
    <w:rsid w:val="002F11F1"/>
    <w:rsid w:val="002F1FB6"/>
    <w:rsid w:val="002F29EB"/>
    <w:rsid w:val="002F384B"/>
    <w:rsid w:val="002F39F0"/>
    <w:rsid w:val="002F3B61"/>
    <w:rsid w:val="002F4044"/>
    <w:rsid w:val="002F480D"/>
    <w:rsid w:val="002F4ACE"/>
    <w:rsid w:val="002F4FB6"/>
    <w:rsid w:val="002F5BF8"/>
    <w:rsid w:val="002F6F33"/>
    <w:rsid w:val="002F72AB"/>
    <w:rsid w:val="002F733D"/>
    <w:rsid w:val="002F7591"/>
    <w:rsid w:val="002F7C95"/>
    <w:rsid w:val="00300504"/>
    <w:rsid w:val="00301386"/>
    <w:rsid w:val="00302614"/>
    <w:rsid w:val="00302A1D"/>
    <w:rsid w:val="00302BF9"/>
    <w:rsid w:val="00302C4C"/>
    <w:rsid w:val="00302E79"/>
    <w:rsid w:val="00302ED6"/>
    <w:rsid w:val="003034F0"/>
    <w:rsid w:val="00303C82"/>
    <w:rsid w:val="00304536"/>
    <w:rsid w:val="00304A3C"/>
    <w:rsid w:val="00305EAC"/>
    <w:rsid w:val="0030760C"/>
    <w:rsid w:val="00310B0A"/>
    <w:rsid w:val="00311533"/>
    <w:rsid w:val="00311779"/>
    <w:rsid w:val="0031182B"/>
    <w:rsid w:val="003123AE"/>
    <w:rsid w:val="003125BC"/>
    <w:rsid w:val="00312F82"/>
    <w:rsid w:val="00315350"/>
    <w:rsid w:val="00315669"/>
    <w:rsid w:val="00315983"/>
    <w:rsid w:val="00316694"/>
    <w:rsid w:val="00316AC5"/>
    <w:rsid w:val="00316FDA"/>
    <w:rsid w:val="00317348"/>
    <w:rsid w:val="00317E63"/>
    <w:rsid w:val="00320116"/>
    <w:rsid w:val="003204DE"/>
    <w:rsid w:val="0032116B"/>
    <w:rsid w:val="00321673"/>
    <w:rsid w:val="00321B45"/>
    <w:rsid w:val="00322CD2"/>
    <w:rsid w:val="003244FD"/>
    <w:rsid w:val="00325CBA"/>
    <w:rsid w:val="00326326"/>
    <w:rsid w:val="003268BF"/>
    <w:rsid w:val="003269BA"/>
    <w:rsid w:val="00326AD1"/>
    <w:rsid w:val="003273A9"/>
    <w:rsid w:val="00327953"/>
    <w:rsid w:val="00327C43"/>
    <w:rsid w:val="003323ED"/>
    <w:rsid w:val="00333EF5"/>
    <w:rsid w:val="003344C7"/>
    <w:rsid w:val="00334544"/>
    <w:rsid w:val="00334559"/>
    <w:rsid w:val="00334B09"/>
    <w:rsid w:val="003354B0"/>
    <w:rsid w:val="003361DD"/>
    <w:rsid w:val="00337811"/>
    <w:rsid w:val="00337915"/>
    <w:rsid w:val="00337A1F"/>
    <w:rsid w:val="00340731"/>
    <w:rsid w:val="00340DE4"/>
    <w:rsid w:val="003413D8"/>
    <w:rsid w:val="00341496"/>
    <w:rsid w:val="003419C9"/>
    <w:rsid w:val="00341D86"/>
    <w:rsid w:val="00344637"/>
    <w:rsid w:val="00344C31"/>
    <w:rsid w:val="00344FC2"/>
    <w:rsid w:val="00345265"/>
    <w:rsid w:val="00345358"/>
    <w:rsid w:val="00345895"/>
    <w:rsid w:val="00345B37"/>
    <w:rsid w:val="00345B8A"/>
    <w:rsid w:val="0034686F"/>
    <w:rsid w:val="00346B35"/>
    <w:rsid w:val="003475A0"/>
    <w:rsid w:val="003477E3"/>
    <w:rsid w:val="0034794D"/>
    <w:rsid w:val="00350629"/>
    <w:rsid w:val="003522B5"/>
    <w:rsid w:val="00353D27"/>
    <w:rsid w:val="0035449D"/>
    <w:rsid w:val="00354C37"/>
    <w:rsid w:val="003558F8"/>
    <w:rsid w:val="00356407"/>
    <w:rsid w:val="00356855"/>
    <w:rsid w:val="00356C0D"/>
    <w:rsid w:val="0035794A"/>
    <w:rsid w:val="00360F92"/>
    <w:rsid w:val="00361C9C"/>
    <w:rsid w:val="0036294F"/>
    <w:rsid w:val="00362B47"/>
    <w:rsid w:val="00363BFF"/>
    <w:rsid w:val="00364B62"/>
    <w:rsid w:val="00364C1E"/>
    <w:rsid w:val="00364D9B"/>
    <w:rsid w:val="00365AFF"/>
    <w:rsid w:val="00365FC6"/>
    <w:rsid w:val="003679BB"/>
    <w:rsid w:val="00367E77"/>
    <w:rsid w:val="00370185"/>
    <w:rsid w:val="00370410"/>
    <w:rsid w:val="00370546"/>
    <w:rsid w:val="0037064F"/>
    <w:rsid w:val="00370B82"/>
    <w:rsid w:val="00370FBA"/>
    <w:rsid w:val="0037105B"/>
    <w:rsid w:val="003711A3"/>
    <w:rsid w:val="00371ABE"/>
    <w:rsid w:val="00371AFF"/>
    <w:rsid w:val="003726CC"/>
    <w:rsid w:val="0037285D"/>
    <w:rsid w:val="00372ADC"/>
    <w:rsid w:val="00374F39"/>
    <w:rsid w:val="003756BA"/>
    <w:rsid w:val="00375A48"/>
    <w:rsid w:val="00376506"/>
    <w:rsid w:val="003765F0"/>
    <w:rsid w:val="003766A0"/>
    <w:rsid w:val="003779FD"/>
    <w:rsid w:val="00380055"/>
    <w:rsid w:val="00380517"/>
    <w:rsid w:val="003808BC"/>
    <w:rsid w:val="003817F8"/>
    <w:rsid w:val="0038224A"/>
    <w:rsid w:val="00382975"/>
    <w:rsid w:val="00382F54"/>
    <w:rsid w:val="003834EB"/>
    <w:rsid w:val="00383941"/>
    <w:rsid w:val="00383FAD"/>
    <w:rsid w:val="00385F86"/>
    <w:rsid w:val="00386CB8"/>
    <w:rsid w:val="00386DD4"/>
    <w:rsid w:val="00387241"/>
    <w:rsid w:val="0038765E"/>
    <w:rsid w:val="00387AAC"/>
    <w:rsid w:val="00390367"/>
    <w:rsid w:val="00390685"/>
    <w:rsid w:val="0039146E"/>
    <w:rsid w:val="00392470"/>
    <w:rsid w:val="00392BF8"/>
    <w:rsid w:val="00393F22"/>
    <w:rsid w:val="00394869"/>
    <w:rsid w:val="00394E51"/>
    <w:rsid w:val="00395DB9"/>
    <w:rsid w:val="00396B14"/>
    <w:rsid w:val="00397818"/>
    <w:rsid w:val="003A02E5"/>
    <w:rsid w:val="003A0B42"/>
    <w:rsid w:val="003A0BA8"/>
    <w:rsid w:val="003A17D7"/>
    <w:rsid w:val="003A1EBF"/>
    <w:rsid w:val="003A256C"/>
    <w:rsid w:val="003A2A6C"/>
    <w:rsid w:val="003A4046"/>
    <w:rsid w:val="003A5530"/>
    <w:rsid w:val="003A67EA"/>
    <w:rsid w:val="003A6A07"/>
    <w:rsid w:val="003A7F96"/>
    <w:rsid w:val="003B1C88"/>
    <w:rsid w:val="003B208A"/>
    <w:rsid w:val="003B2CC8"/>
    <w:rsid w:val="003B3C55"/>
    <w:rsid w:val="003B4A4A"/>
    <w:rsid w:val="003B5A23"/>
    <w:rsid w:val="003B5F56"/>
    <w:rsid w:val="003B634E"/>
    <w:rsid w:val="003B6B39"/>
    <w:rsid w:val="003B6E0D"/>
    <w:rsid w:val="003B6E9A"/>
    <w:rsid w:val="003C09C8"/>
    <w:rsid w:val="003C235D"/>
    <w:rsid w:val="003C2759"/>
    <w:rsid w:val="003C3593"/>
    <w:rsid w:val="003C4198"/>
    <w:rsid w:val="003C45BE"/>
    <w:rsid w:val="003C49A4"/>
    <w:rsid w:val="003C5673"/>
    <w:rsid w:val="003C617F"/>
    <w:rsid w:val="003C6A96"/>
    <w:rsid w:val="003C6C26"/>
    <w:rsid w:val="003C74E4"/>
    <w:rsid w:val="003C7CB0"/>
    <w:rsid w:val="003C7EB5"/>
    <w:rsid w:val="003D047E"/>
    <w:rsid w:val="003D1BA7"/>
    <w:rsid w:val="003D224A"/>
    <w:rsid w:val="003D334D"/>
    <w:rsid w:val="003D362C"/>
    <w:rsid w:val="003D5263"/>
    <w:rsid w:val="003D5E11"/>
    <w:rsid w:val="003D5F1B"/>
    <w:rsid w:val="003D5FDD"/>
    <w:rsid w:val="003D6E5C"/>
    <w:rsid w:val="003E0051"/>
    <w:rsid w:val="003E0CE9"/>
    <w:rsid w:val="003E0F63"/>
    <w:rsid w:val="003E1404"/>
    <w:rsid w:val="003E1E79"/>
    <w:rsid w:val="003E2078"/>
    <w:rsid w:val="003E2375"/>
    <w:rsid w:val="003E257C"/>
    <w:rsid w:val="003E2FE1"/>
    <w:rsid w:val="003E40D3"/>
    <w:rsid w:val="003E4355"/>
    <w:rsid w:val="003E510A"/>
    <w:rsid w:val="003E5972"/>
    <w:rsid w:val="003E656F"/>
    <w:rsid w:val="003E683F"/>
    <w:rsid w:val="003E7514"/>
    <w:rsid w:val="003E7BDB"/>
    <w:rsid w:val="003E7E8B"/>
    <w:rsid w:val="003E7FFC"/>
    <w:rsid w:val="003F0B36"/>
    <w:rsid w:val="003F154C"/>
    <w:rsid w:val="003F2A47"/>
    <w:rsid w:val="003F2DC6"/>
    <w:rsid w:val="003F2F11"/>
    <w:rsid w:val="003F3E22"/>
    <w:rsid w:val="003F47D6"/>
    <w:rsid w:val="003F50DF"/>
    <w:rsid w:val="003F6920"/>
    <w:rsid w:val="003F71BB"/>
    <w:rsid w:val="003F7F19"/>
    <w:rsid w:val="004005F5"/>
    <w:rsid w:val="00400730"/>
    <w:rsid w:val="004007A6"/>
    <w:rsid w:val="004018F4"/>
    <w:rsid w:val="00401A6A"/>
    <w:rsid w:val="0040232B"/>
    <w:rsid w:val="004029F6"/>
    <w:rsid w:val="00402F8B"/>
    <w:rsid w:val="004032C1"/>
    <w:rsid w:val="00403878"/>
    <w:rsid w:val="0040496B"/>
    <w:rsid w:val="00404BAF"/>
    <w:rsid w:val="00405A0B"/>
    <w:rsid w:val="00405CB2"/>
    <w:rsid w:val="00406570"/>
    <w:rsid w:val="0040658F"/>
    <w:rsid w:val="0040711A"/>
    <w:rsid w:val="004075EE"/>
    <w:rsid w:val="0041000B"/>
    <w:rsid w:val="004108C9"/>
    <w:rsid w:val="0041260A"/>
    <w:rsid w:val="0041263F"/>
    <w:rsid w:val="004130F6"/>
    <w:rsid w:val="00413240"/>
    <w:rsid w:val="0041349B"/>
    <w:rsid w:val="004134AA"/>
    <w:rsid w:val="0041407B"/>
    <w:rsid w:val="004142CC"/>
    <w:rsid w:val="00416D2A"/>
    <w:rsid w:val="00416E24"/>
    <w:rsid w:val="00416E99"/>
    <w:rsid w:val="00416F40"/>
    <w:rsid w:val="00417186"/>
    <w:rsid w:val="00420BEF"/>
    <w:rsid w:val="00420F08"/>
    <w:rsid w:val="00421178"/>
    <w:rsid w:val="0042180B"/>
    <w:rsid w:val="00421D94"/>
    <w:rsid w:val="00422144"/>
    <w:rsid w:val="0042245F"/>
    <w:rsid w:val="004224AB"/>
    <w:rsid w:val="0042294D"/>
    <w:rsid w:val="00422C01"/>
    <w:rsid w:val="00422D3F"/>
    <w:rsid w:val="00423054"/>
    <w:rsid w:val="00423AAE"/>
    <w:rsid w:val="00423B65"/>
    <w:rsid w:val="004240B1"/>
    <w:rsid w:val="004240E0"/>
    <w:rsid w:val="00424364"/>
    <w:rsid w:val="004247EE"/>
    <w:rsid w:val="00425729"/>
    <w:rsid w:val="00425B69"/>
    <w:rsid w:val="004278F4"/>
    <w:rsid w:val="00427EB4"/>
    <w:rsid w:val="004307BE"/>
    <w:rsid w:val="00431DE7"/>
    <w:rsid w:val="00431F09"/>
    <w:rsid w:val="00432EFC"/>
    <w:rsid w:val="004334C9"/>
    <w:rsid w:val="0043372F"/>
    <w:rsid w:val="0043417C"/>
    <w:rsid w:val="00434F3D"/>
    <w:rsid w:val="004356A9"/>
    <w:rsid w:val="004365E9"/>
    <w:rsid w:val="004376CE"/>
    <w:rsid w:val="0044169D"/>
    <w:rsid w:val="00441D62"/>
    <w:rsid w:val="004426B3"/>
    <w:rsid w:val="00442F31"/>
    <w:rsid w:val="00443F2C"/>
    <w:rsid w:val="00444B27"/>
    <w:rsid w:val="00445C9F"/>
    <w:rsid w:val="00446505"/>
    <w:rsid w:val="00446735"/>
    <w:rsid w:val="004471A5"/>
    <w:rsid w:val="00447E13"/>
    <w:rsid w:val="0045007A"/>
    <w:rsid w:val="00450B56"/>
    <w:rsid w:val="00453F7B"/>
    <w:rsid w:val="00454AB5"/>
    <w:rsid w:val="00454AB7"/>
    <w:rsid w:val="00454F45"/>
    <w:rsid w:val="0045533A"/>
    <w:rsid w:val="00455B80"/>
    <w:rsid w:val="00455EBA"/>
    <w:rsid w:val="00456763"/>
    <w:rsid w:val="00457286"/>
    <w:rsid w:val="00460246"/>
    <w:rsid w:val="004603F0"/>
    <w:rsid w:val="004604AD"/>
    <w:rsid w:val="00460F7F"/>
    <w:rsid w:val="00461E97"/>
    <w:rsid w:val="00462674"/>
    <w:rsid w:val="00463357"/>
    <w:rsid w:val="004634C2"/>
    <w:rsid w:val="00463C9A"/>
    <w:rsid w:val="00464104"/>
    <w:rsid w:val="00464281"/>
    <w:rsid w:val="0046513B"/>
    <w:rsid w:val="004660C8"/>
    <w:rsid w:val="00466BBB"/>
    <w:rsid w:val="00466FAE"/>
    <w:rsid w:val="004670FB"/>
    <w:rsid w:val="00467FBA"/>
    <w:rsid w:val="00470068"/>
    <w:rsid w:val="00470C3D"/>
    <w:rsid w:val="0047188C"/>
    <w:rsid w:val="00471B7C"/>
    <w:rsid w:val="00472750"/>
    <w:rsid w:val="004728F9"/>
    <w:rsid w:val="0047380F"/>
    <w:rsid w:val="00473BFB"/>
    <w:rsid w:val="00474047"/>
    <w:rsid w:val="00474380"/>
    <w:rsid w:val="0047456C"/>
    <w:rsid w:val="00474A5D"/>
    <w:rsid w:val="00474E18"/>
    <w:rsid w:val="0047565A"/>
    <w:rsid w:val="00475F57"/>
    <w:rsid w:val="00476174"/>
    <w:rsid w:val="00476380"/>
    <w:rsid w:val="00480A29"/>
    <w:rsid w:val="00480AA3"/>
    <w:rsid w:val="00480B5C"/>
    <w:rsid w:val="00480CBB"/>
    <w:rsid w:val="00481D6B"/>
    <w:rsid w:val="004830B0"/>
    <w:rsid w:val="004831B1"/>
    <w:rsid w:val="00483247"/>
    <w:rsid w:val="00483E7F"/>
    <w:rsid w:val="00484B8F"/>
    <w:rsid w:val="00484F5C"/>
    <w:rsid w:val="004856EB"/>
    <w:rsid w:val="00485D40"/>
    <w:rsid w:val="0048642B"/>
    <w:rsid w:val="0048686B"/>
    <w:rsid w:val="00486B36"/>
    <w:rsid w:val="004870D5"/>
    <w:rsid w:val="004876C6"/>
    <w:rsid w:val="004879EF"/>
    <w:rsid w:val="00487B0C"/>
    <w:rsid w:val="00487E0B"/>
    <w:rsid w:val="00491284"/>
    <w:rsid w:val="00491FA1"/>
    <w:rsid w:val="00492159"/>
    <w:rsid w:val="004925DC"/>
    <w:rsid w:val="004929A8"/>
    <w:rsid w:val="0049488E"/>
    <w:rsid w:val="00495249"/>
    <w:rsid w:val="0049560A"/>
    <w:rsid w:val="00495652"/>
    <w:rsid w:val="00495DBA"/>
    <w:rsid w:val="00496255"/>
    <w:rsid w:val="00496615"/>
    <w:rsid w:val="00496F40"/>
    <w:rsid w:val="004971A5"/>
    <w:rsid w:val="004977D3"/>
    <w:rsid w:val="004A02B0"/>
    <w:rsid w:val="004A07FA"/>
    <w:rsid w:val="004A18BB"/>
    <w:rsid w:val="004A1E2B"/>
    <w:rsid w:val="004A43A1"/>
    <w:rsid w:val="004A4C6E"/>
    <w:rsid w:val="004A5A5B"/>
    <w:rsid w:val="004A5FC3"/>
    <w:rsid w:val="004A69AF"/>
    <w:rsid w:val="004A6A14"/>
    <w:rsid w:val="004A6CB2"/>
    <w:rsid w:val="004A6DBA"/>
    <w:rsid w:val="004A6EC2"/>
    <w:rsid w:val="004A71B0"/>
    <w:rsid w:val="004A7DE5"/>
    <w:rsid w:val="004B06CB"/>
    <w:rsid w:val="004B0766"/>
    <w:rsid w:val="004B0DF6"/>
    <w:rsid w:val="004B1247"/>
    <w:rsid w:val="004B129A"/>
    <w:rsid w:val="004B17A2"/>
    <w:rsid w:val="004B22EA"/>
    <w:rsid w:val="004B3591"/>
    <w:rsid w:val="004B43F5"/>
    <w:rsid w:val="004B4953"/>
    <w:rsid w:val="004B6ADF"/>
    <w:rsid w:val="004B6E64"/>
    <w:rsid w:val="004B708C"/>
    <w:rsid w:val="004C004F"/>
    <w:rsid w:val="004C0745"/>
    <w:rsid w:val="004C0B28"/>
    <w:rsid w:val="004C0BA2"/>
    <w:rsid w:val="004C0E0D"/>
    <w:rsid w:val="004C0E67"/>
    <w:rsid w:val="004C126E"/>
    <w:rsid w:val="004C14DE"/>
    <w:rsid w:val="004C1CE3"/>
    <w:rsid w:val="004C1D36"/>
    <w:rsid w:val="004C1D7C"/>
    <w:rsid w:val="004C2579"/>
    <w:rsid w:val="004C2C57"/>
    <w:rsid w:val="004C416A"/>
    <w:rsid w:val="004C45CD"/>
    <w:rsid w:val="004C5A08"/>
    <w:rsid w:val="004C627C"/>
    <w:rsid w:val="004C713A"/>
    <w:rsid w:val="004D171C"/>
    <w:rsid w:val="004D1A3F"/>
    <w:rsid w:val="004D2A06"/>
    <w:rsid w:val="004D3A5D"/>
    <w:rsid w:val="004D3D2E"/>
    <w:rsid w:val="004D41E1"/>
    <w:rsid w:val="004D428D"/>
    <w:rsid w:val="004D4931"/>
    <w:rsid w:val="004D5FC1"/>
    <w:rsid w:val="004D726A"/>
    <w:rsid w:val="004E081E"/>
    <w:rsid w:val="004E2A81"/>
    <w:rsid w:val="004E3FFB"/>
    <w:rsid w:val="004E458D"/>
    <w:rsid w:val="004E55F9"/>
    <w:rsid w:val="004E5793"/>
    <w:rsid w:val="004E57E1"/>
    <w:rsid w:val="004E676F"/>
    <w:rsid w:val="004E67C5"/>
    <w:rsid w:val="004E69CA"/>
    <w:rsid w:val="004E6F0B"/>
    <w:rsid w:val="004E777F"/>
    <w:rsid w:val="004F04DC"/>
    <w:rsid w:val="004F06ED"/>
    <w:rsid w:val="004F1794"/>
    <w:rsid w:val="004F3FD3"/>
    <w:rsid w:val="004F45C7"/>
    <w:rsid w:val="004F5130"/>
    <w:rsid w:val="004F5BAE"/>
    <w:rsid w:val="004F6C79"/>
    <w:rsid w:val="004F7070"/>
    <w:rsid w:val="00500296"/>
    <w:rsid w:val="0050116B"/>
    <w:rsid w:val="00502650"/>
    <w:rsid w:val="005032FB"/>
    <w:rsid w:val="00504550"/>
    <w:rsid w:val="00505222"/>
    <w:rsid w:val="00505987"/>
    <w:rsid w:val="00505F39"/>
    <w:rsid w:val="005063F1"/>
    <w:rsid w:val="005077F1"/>
    <w:rsid w:val="00507CE6"/>
    <w:rsid w:val="00507F08"/>
    <w:rsid w:val="0051070E"/>
    <w:rsid w:val="00511722"/>
    <w:rsid w:val="005136C8"/>
    <w:rsid w:val="0051409B"/>
    <w:rsid w:val="00514165"/>
    <w:rsid w:val="005141CD"/>
    <w:rsid w:val="0051460E"/>
    <w:rsid w:val="0051475A"/>
    <w:rsid w:val="0051491C"/>
    <w:rsid w:val="0051511A"/>
    <w:rsid w:val="00515424"/>
    <w:rsid w:val="0051572B"/>
    <w:rsid w:val="00515B1B"/>
    <w:rsid w:val="00515C39"/>
    <w:rsid w:val="00516468"/>
    <w:rsid w:val="00516F14"/>
    <w:rsid w:val="0051713B"/>
    <w:rsid w:val="0051727F"/>
    <w:rsid w:val="00517718"/>
    <w:rsid w:val="00517E89"/>
    <w:rsid w:val="00521070"/>
    <w:rsid w:val="00521F0D"/>
    <w:rsid w:val="00523FC2"/>
    <w:rsid w:val="00524061"/>
    <w:rsid w:val="005249D3"/>
    <w:rsid w:val="00524E31"/>
    <w:rsid w:val="005251BB"/>
    <w:rsid w:val="00526783"/>
    <w:rsid w:val="0052731E"/>
    <w:rsid w:val="0052758D"/>
    <w:rsid w:val="005279C0"/>
    <w:rsid w:val="0053031F"/>
    <w:rsid w:val="00530492"/>
    <w:rsid w:val="00530F96"/>
    <w:rsid w:val="00531568"/>
    <w:rsid w:val="005325AF"/>
    <w:rsid w:val="00533F46"/>
    <w:rsid w:val="00533FCC"/>
    <w:rsid w:val="00534441"/>
    <w:rsid w:val="005344DF"/>
    <w:rsid w:val="0053454C"/>
    <w:rsid w:val="00535721"/>
    <w:rsid w:val="00535A28"/>
    <w:rsid w:val="00536116"/>
    <w:rsid w:val="005377ED"/>
    <w:rsid w:val="0054033C"/>
    <w:rsid w:val="0054163F"/>
    <w:rsid w:val="00541675"/>
    <w:rsid w:val="0054187E"/>
    <w:rsid w:val="00542507"/>
    <w:rsid w:val="00542F56"/>
    <w:rsid w:val="00542F82"/>
    <w:rsid w:val="00543BB0"/>
    <w:rsid w:val="0054652B"/>
    <w:rsid w:val="005466CA"/>
    <w:rsid w:val="00547760"/>
    <w:rsid w:val="0054786A"/>
    <w:rsid w:val="005502DC"/>
    <w:rsid w:val="005504CD"/>
    <w:rsid w:val="00550C7E"/>
    <w:rsid w:val="005523D7"/>
    <w:rsid w:val="00552836"/>
    <w:rsid w:val="005528FF"/>
    <w:rsid w:val="00552D99"/>
    <w:rsid w:val="00553B90"/>
    <w:rsid w:val="005543B3"/>
    <w:rsid w:val="00554BAD"/>
    <w:rsid w:val="00554FB2"/>
    <w:rsid w:val="00555DCC"/>
    <w:rsid w:val="00560EE2"/>
    <w:rsid w:val="0056103A"/>
    <w:rsid w:val="00561091"/>
    <w:rsid w:val="00562DD4"/>
    <w:rsid w:val="005633D5"/>
    <w:rsid w:val="00563718"/>
    <w:rsid w:val="00563C7A"/>
    <w:rsid w:val="00563CE2"/>
    <w:rsid w:val="00563FB5"/>
    <w:rsid w:val="00564738"/>
    <w:rsid w:val="00565188"/>
    <w:rsid w:val="005667D9"/>
    <w:rsid w:val="00566AE9"/>
    <w:rsid w:val="0056786D"/>
    <w:rsid w:val="005700AD"/>
    <w:rsid w:val="0057032D"/>
    <w:rsid w:val="005711FB"/>
    <w:rsid w:val="00571527"/>
    <w:rsid w:val="00571CFB"/>
    <w:rsid w:val="005723FD"/>
    <w:rsid w:val="0057373F"/>
    <w:rsid w:val="00573F1B"/>
    <w:rsid w:val="00574432"/>
    <w:rsid w:val="00574700"/>
    <w:rsid w:val="00576148"/>
    <w:rsid w:val="00576D5D"/>
    <w:rsid w:val="00577D72"/>
    <w:rsid w:val="00580035"/>
    <w:rsid w:val="00580070"/>
    <w:rsid w:val="00580A9A"/>
    <w:rsid w:val="00580C09"/>
    <w:rsid w:val="00581126"/>
    <w:rsid w:val="00581B3E"/>
    <w:rsid w:val="005823D8"/>
    <w:rsid w:val="00582460"/>
    <w:rsid w:val="00582D1A"/>
    <w:rsid w:val="00583018"/>
    <w:rsid w:val="00583AF2"/>
    <w:rsid w:val="005857C4"/>
    <w:rsid w:val="005858B0"/>
    <w:rsid w:val="00586D8C"/>
    <w:rsid w:val="00587AC1"/>
    <w:rsid w:val="00587D58"/>
    <w:rsid w:val="00590013"/>
    <w:rsid w:val="00590A5E"/>
    <w:rsid w:val="00591C18"/>
    <w:rsid w:val="00592256"/>
    <w:rsid w:val="00593C0A"/>
    <w:rsid w:val="0059424D"/>
    <w:rsid w:val="00594257"/>
    <w:rsid w:val="00594481"/>
    <w:rsid w:val="00595326"/>
    <w:rsid w:val="00597015"/>
    <w:rsid w:val="00597A5A"/>
    <w:rsid w:val="005A082D"/>
    <w:rsid w:val="005A0A4E"/>
    <w:rsid w:val="005A12A0"/>
    <w:rsid w:val="005A1995"/>
    <w:rsid w:val="005A1FE0"/>
    <w:rsid w:val="005A2BD3"/>
    <w:rsid w:val="005A3BF1"/>
    <w:rsid w:val="005A3D10"/>
    <w:rsid w:val="005A45C2"/>
    <w:rsid w:val="005A488C"/>
    <w:rsid w:val="005A55F7"/>
    <w:rsid w:val="005A71F2"/>
    <w:rsid w:val="005A73D1"/>
    <w:rsid w:val="005A77D2"/>
    <w:rsid w:val="005A7988"/>
    <w:rsid w:val="005A7AC7"/>
    <w:rsid w:val="005B0306"/>
    <w:rsid w:val="005B0811"/>
    <w:rsid w:val="005B0C10"/>
    <w:rsid w:val="005B0F76"/>
    <w:rsid w:val="005B141E"/>
    <w:rsid w:val="005B193E"/>
    <w:rsid w:val="005B2145"/>
    <w:rsid w:val="005B2999"/>
    <w:rsid w:val="005B2F18"/>
    <w:rsid w:val="005B34A6"/>
    <w:rsid w:val="005B352B"/>
    <w:rsid w:val="005B43F9"/>
    <w:rsid w:val="005B4F8E"/>
    <w:rsid w:val="005B6CE7"/>
    <w:rsid w:val="005B6CEB"/>
    <w:rsid w:val="005B7CD3"/>
    <w:rsid w:val="005C17E4"/>
    <w:rsid w:val="005C3074"/>
    <w:rsid w:val="005C3ED2"/>
    <w:rsid w:val="005C48DB"/>
    <w:rsid w:val="005C4B83"/>
    <w:rsid w:val="005C5D3C"/>
    <w:rsid w:val="005C5D48"/>
    <w:rsid w:val="005C614B"/>
    <w:rsid w:val="005C7066"/>
    <w:rsid w:val="005C706C"/>
    <w:rsid w:val="005C7A69"/>
    <w:rsid w:val="005C7C51"/>
    <w:rsid w:val="005D0444"/>
    <w:rsid w:val="005D27D8"/>
    <w:rsid w:val="005D2AD8"/>
    <w:rsid w:val="005D4172"/>
    <w:rsid w:val="005D4206"/>
    <w:rsid w:val="005D49E8"/>
    <w:rsid w:val="005D56A1"/>
    <w:rsid w:val="005D5BE7"/>
    <w:rsid w:val="005D76A0"/>
    <w:rsid w:val="005D76E2"/>
    <w:rsid w:val="005D780A"/>
    <w:rsid w:val="005D78D8"/>
    <w:rsid w:val="005E04C7"/>
    <w:rsid w:val="005E055D"/>
    <w:rsid w:val="005E15D0"/>
    <w:rsid w:val="005E1D74"/>
    <w:rsid w:val="005E3763"/>
    <w:rsid w:val="005E3FF9"/>
    <w:rsid w:val="005E4F4F"/>
    <w:rsid w:val="005E589A"/>
    <w:rsid w:val="005E671B"/>
    <w:rsid w:val="005E672F"/>
    <w:rsid w:val="005E76FE"/>
    <w:rsid w:val="005E7C42"/>
    <w:rsid w:val="005F0309"/>
    <w:rsid w:val="005F14C9"/>
    <w:rsid w:val="005F1753"/>
    <w:rsid w:val="005F17B8"/>
    <w:rsid w:val="005F297B"/>
    <w:rsid w:val="005F2F56"/>
    <w:rsid w:val="005F3ABD"/>
    <w:rsid w:val="005F581F"/>
    <w:rsid w:val="005F5D54"/>
    <w:rsid w:val="005F5DC2"/>
    <w:rsid w:val="005F620E"/>
    <w:rsid w:val="005F6C18"/>
    <w:rsid w:val="005F6C3B"/>
    <w:rsid w:val="005F70F6"/>
    <w:rsid w:val="005F7A00"/>
    <w:rsid w:val="005F7BE9"/>
    <w:rsid w:val="005F7DAF"/>
    <w:rsid w:val="00600A25"/>
    <w:rsid w:val="00600BBD"/>
    <w:rsid w:val="0060117B"/>
    <w:rsid w:val="006012B4"/>
    <w:rsid w:val="00602016"/>
    <w:rsid w:val="00602286"/>
    <w:rsid w:val="006027DC"/>
    <w:rsid w:val="00602BC2"/>
    <w:rsid w:val="00603803"/>
    <w:rsid w:val="006046D9"/>
    <w:rsid w:val="00604D4D"/>
    <w:rsid w:val="006056FF"/>
    <w:rsid w:val="00605A49"/>
    <w:rsid w:val="00606096"/>
    <w:rsid w:val="00606608"/>
    <w:rsid w:val="00606B38"/>
    <w:rsid w:val="00606DE4"/>
    <w:rsid w:val="00607F9F"/>
    <w:rsid w:val="006111C9"/>
    <w:rsid w:val="00613E42"/>
    <w:rsid w:val="00614A9C"/>
    <w:rsid w:val="00614BAD"/>
    <w:rsid w:val="00615107"/>
    <w:rsid w:val="0061565F"/>
    <w:rsid w:val="00616740"/>
    <w:rsid w:val="00616BC2"/>
    <w:rsid w:val="00617013"/>
    <w:rsid w:val="00620731"/>
    <w:rsid w:val="00620BC9"/>
    <w:rsid w:val="00621871"/>
    <w:rsid w:val="00621C9A"/>
    <w:rsid w:val="00621E52"/>
    <w:rsid w:val="00621FB2"/>
    <w:rsid w:val="0062297B"/>
    <w:rsid w:val="00623039"/>
    <w:rsid w:val="0062304D"/>
    <w:rsid w:val="00623277"/>
    <w:rsid w:val="0062352D"/>
    <w:rsid w:val="00624123"/>
    <w:rsid w:val="0062467C"/>
    <w:rsid w:val="00626385"/>
    <w:rsid w:val="0062685A"/>
    <w:rsid w:val="00626E07"/>
    <w:rsid w:val="006273E4"/>
    <w:rsid w:val="0062793A"/>
    <w:rsid w:val="00630B29"/>
    <w:rsid w:val="00631331"/>
    <w:rsid w:val="00631450"/>
    <w:rsid w:val="00631CA9"/>
    <w:rsid w:val="00631F46"/>
    <w:rsid w:val="0063236D"/>
    <w:rsid w:val="00632CFA"/>
    <w:rsid w:val="00632DB7"/>
    <w:rsid w:val="00633179"/>
    <w:rsid w:val="006336A0"/>
    <w:rsid w:val="00634875"/>
    <w:rsid w:val="006351F0"/>
    <w:rsid w:val="006353EB"/>
    <w:rsid w:val="00635751"/>
    <w:rsid w:val="006363E1"/>
    <w:rsid w:val="006368D9"/>
    <w:rsid w:val="00637AC3"/>
    <w:rsid w:val="006400BE"/>
    <w:rsid w:val="00640A56"/>
    <w:rsid w:val="00640D7D"/>
    <w:rsid w:val="00640DE0"/>
    <w:rsid w:val="00640DE4"/>
    <w:rsid w:val="006411CD"/>
    <w:rsid w:val="00641291"/>
    <w:rsid w:val="006416AF"/>
    <w:rsid w:val="006417D2"/>
    <w:rsid w:val="006418BF"/>
    <w:rsid w:val="0064324E"/>
    <w:rsid w:val="0064361A"/>
    <w:rsid w:val="00643F4E"/>
    <w:rsid w:val="0064465F"/>
    <w:rsid w:val="00644AD7"/>
    <w:rsid w:val="00645101"/>
    <w:rsid w:val="006459B2"/>
    <w:rsid w:val="00646674"/>
    <w:rsid w:val="006468FC"/>
    <w:rsid w:val="00647BD8"/>
    <w:rsid w:val="00650189"/>
    <w:rsid w:val="00650396"/>
    <w:rsid w:val="006507AA"/>
    <w:rsid w:val="00650D7C"/>
    <w:rsid w:val="00651385"/>
    <w:rsid w:val="0065185D"/>
    <w:rsid w:val="006524EA"/>
    <w:rsid w:val="00653373"/>
    <w:rsid w:val="00654382"/>
    <w:rsid w:val="006543D7"/>
    <w:rsid w:val="006555E1"/>
    <w:rsid w:val="00656582"/>
    <w:rsid w:val="00656996"/>
    <w:rsid w:val="00657B3A"/>
    <w:rsid w:val="00661DF5"/>
    <w:rsid w:val="00661E29"/>
    <w:rsid w:val="00661EDC"/>
    <w:rsid w:val="00662A4C"/>
    <w:rsid w:val="00663567"/>
    <w:rsid w:val="00663A8D"/>
    <w:rsid w:val="00664041"/>
    <w:rsid w:val="00664462"/>
    <w:rsid w:val="00664624"/>
    <w:rsid w:val="00664634"/>
    <w:rsid w:val="006650D5"/>
    <w:rsid w:val="006660F8"/>
    <w:rsid w:val="00666BC3"/>
    <w:rsid w:val="006676BE"/>
    <w:rsid w:val="00670704"/>
    <w:rsid w:val="00671278"/>
    <w:rsid w:val="006712FD"/>
    <w:rsid w:val="00672138"/>
    <w:rsid w:val="00673104"/>
    <w:rsid w:val="00673947"/>
    <w:rsid w:val="00674013"/>
    <w:rsid w:val="0067402B"/>
    <w:rsid w:val="0067407F"/>
    <w:rsid w:val="00674CA4"/>
    <w:rsid w:val="00674D9B"/>
    <w:rsid w:val="00675F5F"/>
    <w:rsid w:val="00676252"/>
    <w:rsid w:val="00676824"/>
    <w:rsid w:val="00677479"/>
    <w:rsid w:val="0067756F"/>
    <w:rsid w:val="00677B9F"/>
    <w:rsid w:val="00677F86"/>
    <w:rsid w:val="00680510"/>
    <w:rsid w:val="00680DD8"/>
    <w:rsid w:val="006837B9"/>
    <w:rsid w:val="00684555"/>
    <w:rsid w:val="00684A06"/>
    <w:rsid w:val="00684CAE"/>
    <w:rsid w:val="00684DC5"/>
    <w:rsid w:val="0068528A"/>
    <w:rsid w:val="00685432"/>
    <w:rsid w:val="00685A1E"/>
    <w:rsid w:val="00685F21"/>
    <w:rsid w:val="00686044"/>
    <w:rsid w:val="006870B0"/>
    <w:rsid w:val="0068719D"/>
    <w:rsid w:val="006876A1"/>
    <w:rsid w:val="00687E1D"/>
    <w:rsid w:val="00690565"/>
    <w:rsid w:val="0069195A"/>
    <w:rsid w:val="00692697"/>
    <w:rsid w:val="00692991"/>
    <w:rsid w:val="00693231"/>
    <w:rsid w:val="00693445"/>
    <w:rsid w:val="00693B48"/>
    <w:rsid w:val="00693CD2"/>
    <w:rsid w:val="00694C28"/>
    <w:rsid w:val="00694EB6"/>
    <w:rsid w:val="00695038"/>
    <w:rsid w:val="00695236"/>
    <w:rsid w:val="00695ABE"/>
    <w:rsid w:val="00695D11"/>
    <w:rsid w:val="006961F9"/>
    <w:rsid w:val="00696546"/>
    <w:rsid w:val="00696A57"/>
    <w:rsid w:val="006A06B8"/>
    <w:rsid w:val="006A0867"/>
    <w:rsid w:val="006A0D1F"/>
    <w:rsid w:val="006A0D93"/>
    <w:rsid w:val="006A1660"/>
    <w:rsid w:val="006A1A33"/>
    <w:rsid w:val="006A1A5F"/>
    <w:rsid w:val="006A286E"/>
    <w:rsid w:val="006A2DB0"/>
    <w:rsid w:val="006A2EE2"/>
    <w:rsid w:val="006A33EA"/>
    <w:rsid w:val="006A3974"/>
    <w:rsid w:val="006A3A50"/>
    <w:rsid w:val="006A4351"/>
    <w:rsid w:val="006A44C5"/>
    <w:rsid w:val="006A459C"/>
    <w:rsid w:val="006A558D"/>
    <w:rsid w:val="006A570E"/>
    <w:rsid w:val="006A60EE"/>
    <w:rsid w:val="006A65D3"/>
    <w:rsid w:val="006A683F"/>
    <w:rsid w:val="006A7231"/>
    <w:rsid w:val="006B02B5"/>
    <w:rsid w:val="006B08A4"/>
    <w:rsid w:val="006B0DB4"/>
    <w:rsid w:val="006B16DE"/>
    <w:rsid w:val="006B1852"/>
    <w:rsid w:val="006B3087"/>
    <w:rsid w:val="006B3866"/>
    <w:rsid w:val="006B38E8"/>
    <w:rsid w:val="006B395E"/>
    <w:rsid w:val="006B4AD5"/>
    <w:rsid w:val="006B56BC"/>
    <w:rsid w:val="006B69BF"/>
    <w:rsid w:val="006B7D64"/>
    <w:rsid w:val="006C0270"/>
    <w:rsid w:val="006C0F21"/>
    <w:rsid w:val="006C20B7"/>
    <w:rsid w:val="006C2BAE"/>
    <w:rsid w:val="006C47A9"/>
    <w:rsid w:val="006C4CB7"/>
    <w:rsid w:val="006C501C"/>
    <w:rsid w:val="006C5538"/>
    <w:rsid w:val="006C5C6E"/>
    <w:rsid w:val="006C68E7"/>
    <w:rsid w:val="006C6B32"/>
    <w:rsid w:val="006C7323"/>
    <w:rsid w:val="006C75D8"/>
    <w:rsid w:val="006D06F2"/>
    <w:rsid w:val="006D0AC0"/>
    <w:rsid w:val="006D0E5C"/>
    <w:rsid w:val="006D1EBC"/>
    <w:rsid w:val="006D378F"/>
    <w:rsid w:val="006D3E6D"/>
    <w:rsid w:val="006D416F"/>
    <w:rsid w:val="006D4A7B"/>
    <w:rsid w:val="006D4F70"/>
    <w:rsid w:val="006D5119"/>
    <w:rsid w:val="006E06A9"/>
    <w:rsid w:val="006E2AC3"/>
    <w:rsid w:val="006E2C13"/>
    <w:rsid w:val="006E38AC"/>
    <w:rsid w:val="006E3B19"/>
    <w:rsid w:val="006E4F1A"/>
    <w:rsid w:val="006E51BC"/>
    <w:rsid w:val="006E5283"/>
    <w:rsid w:val="006E5A84"/>
    <w:rsid w:val="006E5F5E"/>
    <w:rsid w:val="006E67E3"/>
    <w:rsid w:val="006E68EE"/>
    <w:rsid w:val="006E6D26"/>
    <w:rsid w:val="006F0C7C"/>
    <w:rsid w:val="006F10B3"/>
    <w:rsid w:val="006F162B"/>
    <w:rsid w:val="006F1D3E"/>
    <w:rsid w:val="006F2100"/>
    <w:rsid w:val="006F28D9"/>
    <w:rsid w:val="006F2C65"/>
    <w:rsid w:val="006F2DB4"/>
    <w:rsid w:val="006F2DE2"/>
    <w:rsid w:val="006F2EF0"/>
    <w:rsid w:val="006F47DA"/>
    <w:rsid w:val="006F4F2C"/>
    <w:rsid w:val="006F500A"/>
    <w:rsid w:val="006F5929"/>
    <w:rsid w:val="006F5CA0"/>
    <w:rsid w:val="006F5FD1"/>
    <w:rsid w:val="006F6133"/>
    <w:rsid w:val="006F7287"/>
    <w:rsid w:val="006F73C6"/>
    <w:rsid w:val="006F7705"/>
    <w:rsid w:val="006F7DBB"/>
    <w:rsid w:val="007019A2"/>
    <w:rsid w:val="00702B15"/>
    <w:rsid w:val="00702B1C"/>
    <w:rsid w:val="0070370B"/>
    <w:rsid w:val="00704189"/>
    <w:rsid w:val="007043BC"/>
    <w:rsid w:val="00704AC8"/>
    <w:rsid w:val="00706111"/>
    <w:rsid w:val="007062B9"/>
    <w:rsid w:val="007067CF"/>
    <w:rsid w:val="007069CF"/>
    <w:rsid w:val="007077E6"/>
    <w:rsid w:val="007079D7"/>
    <w:rsid w:val="00712071"/>
    <w:rsid w:val="007121D6"/>
    <w:rsid w:val="007128A3"/>
    <w:rsid w:val="00713B04"/>
    <w:rsid w:val="00713C90"/>
    <w:rsid w:val="00713CB7"/>
    <w:rsid w:val="00714A5D"/>
    <w:rsid w:val="00714AAF"/>
    <w:rsid w:val="00714B91"/>
    <w:rsid w:val="00715B6A"/>
    <w:rsid w:val="00715DBB"/>
    <w:rsid w:val="00716010"/>
    <w:rsid w:val="00716C2F"/>
    <w:rsid w:val="00717559"/>
    <w:rsid w:val="007211FC"/>
    <w:rsid w:val="00721347"/>
    <w:rsid w:val="0072157D"/>
    <w:rsid w:val="00721600"/>
    <w:rsid w:val="00721AF0"/>
    <w:rsid w:val="00721FA1"/>
    <w:rsid w:val="00722044"/>
    <w:rsid w:val="007228EA"/>
    <w:rsid w:val="00722A8D"/>
    <w:rsid w:val="00723033"/>
    <w:rsid w:val="007237F5"/>
    <w:rsid w:val="00723B0D"/>
    <w:rsid w:val="00723B6A"/>
    <w:rsid w:val="00725DCB"/>
    <w:rsid w:val="007262A9"/>
    <w:rsid w:val="007263CE"/>
    <w:rsid w:val="0072674E"/>
    <w:rsid w:val="007267F7"/>
    <w:rsid w:val="00726C76"/>
    <w:rsid w:val="00727283"/>
    <w:rsid w:val="007272D7"/>
    <w:rsid w:val="0072747C"/>
    <w:rsid w:val="00727EA7"/>
    <w:rsid w:val="0073009F"/>
    <w:rsid w:val="0073140D"/>
    <w:rsid w:val="00732BF9"/>
    <w:rsid w:val="00733488"/>
    <w:rsid w:val="00733878"/>
    <w:rsid w:val="00733AB3"/>
    <w:rsid w:val="0073443B"/>
    <w:rsid w:val="0073488C"/>
    <w:rsid w:val="007367DB"/>
    <w:rsid w:val="00737891"/>
    <w:rsid w:val="00737B0F"/>
    <w:rsid w:val="00737F01"/>
    <w:rsid w:val="0074096D"/>
    <w:rsid w:val="00740C06"/>
    <w:rsid w:val="00741C00"/>
    <w:rsid w:val="007429D7"/>
    <w:rsid w:val="00742B9A"/>
    <w:rsid w:val="00742EB4"/>
    <w:rsid w:val="007434A5"/>
    <w:rsid w:val="00743B72"/>
    <w:rsid w:val="0074456F"/>
    <w:rsid w:val="00744C79"/>
    <w:rsid w:val="0074595A"/>
    <w:rsid w:val="00746407"/>
    <w:rsid w:val="00746440"/>
    <w:rsid w:val="00746653"/>
    <w:rsid w:val="007468FE"/>
    <w:rsid w:val="0075043F"/>
    <w:rsid w:val="00750FB2"/>
    <w:rsid w:val="007514DD"/>
    <w:rsid w:val="00752142"/>
    <w:rsid w:val="00752DC0"/>
    <w:rsid w:val="00752ECE"/>
    <w:rsid w:val="007537DC"/>
    <w:rsid w:val="007538FC"/>
    <w:rsid w:val="00753A61"/>
    <w:rsid w:val="00753C1B"/>
    <w:rsid w:val="00753E30"/>
    <w:rsid w:val="007552D3"/>
    <w:rsid w:val="007554E4"/>
    <w:rsid w:val="007565D0"/>
    <w:rsid w:val="00756C4B"/>
    <w:rsid w:val="00756E9E"/>
    <w:rsid w:val="007572D6"/>
    <w:rsid w:val="00757E38"/>
    <w:rsid w:val="00757EF6"/>
    <w:rsid w:val="007606A1"/>
    <w:rsid w:val="00760D57"/>
    <w:rsid w:val="0076109E"/>
    <w:rsid w:val="007615C1"/>
    <w:rsid w:val="007616F4"/>
    <w:rsid w:val="00761F9A"/>
    <w:rsid w:val="00762CA4"/>
    <w:rsid w:val="0076341C"/>
    <w:rsid w:val="00763EE8"/>
    <w:rsid w:val="00764590"/>
    <w:rsid w:val="007654D6"/>
    <w:rsid w:val="00765F1C"/>
    <w:rsid w:val="00767708"/>
    <w:rsid w:val="00767DEA"/>
    <w:rsid w:val="0077093E"/>
    <w:rsid w:val="00770D1D"/>
    <w:rsid w:val="007713C2"/>
    <w:rsid w:val="00771949"/>
    <w:rsid w:val="00771B03"/>
    <w:rsid w:val="007728B1"/>
    <w:rsid w:val="00772B98"/>
    <w:rsid w:val="00772BD0"/>
    <w:rsid w:val="00773AB1"/>
    <w:rsid w:val="00773EF0"/>
    <w:rsid w:val="00774742"/>
    <w:rsid w:val="00774B0D"/>
    <w:rsid w:val="007756D7"/>
    <w:rsid w:val="00775B7C"/>
    <w:rsid w:val="00775BDE"/>
    <w:rsid w:val="00775E78"/>
    <w:rsid w:val="007773C1"/>
    <w:rsid w:val="00777B0C"/>
    <w:rsid w:val="00780517"/>
    <w:rsid w:val="0078056C"/>
    <w:rsid w:val="007809CA"/>
    <w:rsid w:val="00781358"/>
    <w:rsid w:val="0078271B"/>
    <w:rsid w:val="00782C34"/>
    <w:rsid w:val="00782E13"/>
    <w:rsid w:val="00782EE6"/>
    <w:rsid w:val="00783B6F"/>
    <w:rsid w:val="00783EB0"/>
    <w:rsid w:val="007840A2"/>
    <w:rsid w:val="00784166"/>
    <w:rsid w:val="00784323"/>
    <w:rsid w:val="007875BB"/>
    <w:rsid w:val="00787E15"/>
    <w:rsid w:val="00790406"/>
    <w:rsid w:val="007909B0"/>
    <w:rsid w:val="007914A9"/>
    <w:rsid w:val="00792C18"/>
    <w:rsid w:val="00793645"/>
    <w:rsid w:val="0079468D"/>
    <w:rsid w:val="00795CD7"/>
    <w:rsid w:val="0079641F"/>
    <w:rsid w:val="00796933"/>
    <w:rsid w:val="00796D80"/>
    <w:rsid w:val="00797101"/>
    <w:rsid w:val="007972ED"/>
    <w:rsid w:val="00797476"/>
    <w:rsid w:val="00797980"/>
    <w:rsid w:val="007A02C1"/>
    <w:rsid w:val="007A1138"/>
    <w:rsid w:val="007A19A0"/>
    <w:rsid w:val="007A4997"/>
    <w:rsid w:val="007A4AE5"/>
    <w:rsid w:val="007A4D82"/>
    <w:rsid w:val="007A50D9"/>
    <w:rsid w:val="007A7784"/>
    <w:rsid w:val="007A7ADB"/>
    <w:rsid w:val="007A7D2E"/>
    <w:rsid w:val="007A7DF3"/>
    <w:rsid w:val="007B006C"/>
    <w:rsid w:val="007B0EC0"/>
    <w:rsid w:val="007B13AE"/>
    <w:rsid w:val="007B1785"/>
    <w:rsid w:val="007B1990"/>
    <w:rsid w:val="007B1BA4"/>
    <w:rsid w:val="007B2C14"/>
    <w:rsid w:val="007B3B36"/>
    <w:rsid w:val="007B3EBD"/>
    <w:rsid w:val="007B41A2"/>
    <w:rsid w:val="007B4E21"/>
    <w:rsid w:val="007B58BA"/>
    <w:rsid w:val="007B7923"/>
    <w:rsid w:val="007B7E87"/>
    <w:rsid w:val="007C0B71"/>
    <w:rsid w:val="007C0C1C"/>
    <w:rsid w:val="007C10A7"/>
    <w:rsid w:val="007C2E98"/>
    <w:rsid w:val="007C3FF4"/>
    <w:rsid w:val="007C4288"/>
    <w:rsid w:val="007C5143"/>
    <w:rsid w:val="007C628E"/>
    <w:rsid w:val="007C658A"/>
    <w:rsid w:val="007C7071"/>
    <w:rsid w:val="007C7097"/>
    <w:rsid w:val="007C766F"/>
    <w:rsid w:val="007C7EED"/>
    <w:rsid w:val="007D09EE"/>
    <w:rsid w:val="007D35FB"/>
    <w:rsid w:val="007D3D23"/>
    <w:rsid w:val="007D450E"/>
    <w:rsid w:val="007D57BE"/>
    <w:rsid w:val="007D5E7A"/>
    <w:rsid w:val="007D5EFE"/>
    <w:rsid w:val="007D6E53"/>
    <w:rsid w:val="007D6F79"/>
    <w:rsid w:val="007D7478"/>
    <w:rsid w:val="007E0125"/>
    <w:rsid w:val="007E238D"/>
    <w:rsid w:val="007E316F"/>
    <w:rsid w:val="007E337F"/>
    <w:rsid w:val="007E4607"/>
    <w:rsid w:val="007E47F0"/>
    <w:rsid w:val="007E5513"/>
    <w:rsid w:val="007E5986"/>
    <w:rsid w:val="007E66F5"/>
    <w:rsid w:val="007E6E2A"/>
    <w:rsid w:val="007F0158"/>
    <w:rsid w:val="007F0EE3"/>
    <w:rsid w:val="007F1120"/>
    <w:rsid w:val="007F1303"/>
    <w:rsid w:val="007F3249"/>
    <w:rsid w:val="007F4FD6"/>
    <w:rsid w:val="007F5C63"/>
    <w:rsid w:val="007F66BE"/>
    <w:rsid w:val="007F6757"/>
    <w:rsid w:val="007F6A5A"/>
    <w:rsid w:val="007F7138"/>
    <w:rsid w:val="007F738B"/>
    <w:rsid w:val="00800FB0"/>
    <w:rsid w:val="00801DC9"/>
    <w:rsid w:val="00801F31"/>
    <w:rsid w:val="0080235A"/>
    <w:rsid w:val="00803311"/>
    <w:rsid w:val="008038DC"/>
    <w:rsid w:val="0080648B"/>
    <w:rsid w:val="00810953"/>
    <w:rsid w:val="0081101D"/>
    <w:rsid w:val="00811905"/>
    <w:rsid w:val="00811D78"/>
    <w:rsid w:val="00813D1F"/>
    <w:rsid w:val="00814D0A"/>
    <w:rsid w:val="008154C8"/>
    <w:rsid w:val="00815B55"/>
    <w:rsid w:val="00815CED"/>
    <w:rsid w:val="00815F22"/>
    <w:rsid w:val="008165B6"/>
    <w:rsid w:val="008171D7"/>
    <w:rsid w:val="00817E46"/>
    <w:rsid w:val="008207C2"/>
    <w:rsid w:val="00820D94"/>
    <w:rsid w:val="00820DED"/>
    <w:rsid w:val="008215DA"/>
    <w:rsid w:val="008219A4"/>
    <w:rsid w:val="0082218B"/>
    <w:rsid w:val="00822B51"/>
    <w:rsid w:val="00824969"/>
    <w:rsid w:val="008254F4"/>
    <w:rsid w:val="008259D3"/>
    <w:rsid w:val="00825C0B"/>
    <w:rsid w:val="0082676F"/>
    <w:rsid w:val="008268C0"/>
    <w:rsid w:val="0082734A"/>
    <w:rsid w:val="008277AD"/>
    <w:rsid w:val="00827FC1"/>
    <w:rsid w:val="00830F65"/>
    <w:rsid w:val="0083130D"/>
    <w:rsid w:val="0083206D"/>
    <w:rsid w:val="00832074"/>
    <w:rsid w:val="00832119"/>
    <w:rsid w:val="00832736"/>
    <w:rsid w:val="0083286C"/>
    <w:rsid w:val="00832AF0"/>
    <w:rsid w:val="00833B79"/>
    <w:rsid w:val="00834EF0"/>
    <w:rsid w:val="00835138"/>
    <w:rsid w:val="00835625"/>
    <w:rsid w:val="00835E52"/>
    <w:rsid w:val="00836953"/>
    <w:rsid w:val="00836B07"/>
    <w:rsid w:val="00837A39"/>
    <w:rsid w:val="00840C09"/>
    <w:rsid w:val="00840D65"/>
    <w:rsid w:val="00840FCF"/>
    <w:rsid w:val="00841328"/>
    <w:rsid w:val="00841B5E"/>
    <w:rsid w:val="00842330"/>
    <w:rsid w:val="00842F2C"/>
    <w:rsid w:val="008444AA"/>
    <w:rsid w:val="008449EF"/>
    <w:rsid w:val="00844A4A"/>
    <w:rsid w:val="008451CF"/>
    <w:rsid w:val="00845C09"/>
    <w:rsid w:val="0084610D"/>
    <w:rsid w:val="00846A0F"/>
    <w:rsid w:val="008470CD"/>
    <w:rsid w:val="008474EE"/>
    <w:rsid w:val="008501F7"/>
    <w:rsid w:val="00850567"/>
    <w:rsid w:val="008511AF"/>
    <w:rsid w:val="0085155B"/>
    <w:rsid w:val="00851E02"/>
    <w:rsid w:val="0085375C"/>
    <w:rsid w:val="008538B4"/>
    <w:rsid w:val="0085398D"/>
    <w:rsid w:val="00853A71"/>
    <w:rsid w:val="00854416"/>
    <w:rsid w:val="00854A95"/>
    <w:rsid w:val="00854F0D"/>
    <w:rsid w:val="00854F33"/>
    <w:rsid w:val="008550EF"/>
    <w:rsid w:val="008551EA"/>
    <w:rsid w:val="0085571E"/>
    <w:rsid w:val="00855D2F"/>
    <w:rsid w:val="00855E17"/>
    <w:rsid w:val="00856983"/>
    <w:rsid w:val="008579E2"/>
    <w:rsid w:val="0086111F"/>
    <w:rsid w:val="00861C01"/>
    <w:rsid w:val="0086354C"/>
    <w:rsid w:val="00863AEE"/>
    <w:rsid w:val="00863E89"/>
    <w:rsid w:val="00864306"/>
    <w:rsid w:val="00864B5C"/>
    <w:rsid w:val="00865356"/>
    <w:rsid w:val="00865BE1"/>
    <w:rsid w:val="00866CBE"/>
    <w:rsid w:val="00867193"/>
    <w:rsid w:val="008702F5"/>
    <w:rsid w:val="0087089E"/>
    <w:rsid w:val="00870EA9"/>
    <w:rsid w:val="00872994"/>
    <w:rsid w:val="00872BEF"/>
    <w:rsid w:val="00872EF2"/>
    <w:rsid w:val="0087314B"/>
    <w:rsid w:val="0087372C"/>
    <w:rsid w:val="00873AC9"/>
    <w:rsid w:val="008741BD"/>
    <w:rsid w:val="0087590F"/>
    <w:rsid w:val="00875F78"/>
    <w:rsid w:val="0087687A"/>
    <w:rsid w:val="00876FC9"/>
    <w:rsid w:val="0087742C"/>
    <w:rsid w:val="00877FDB"/>
    <w:rsid w:val="00880317"/>
    <w:rsid w:val="00881693"/>
    <w:rsid w:val="0088204C"/>
    <w:rsid w:val="00882C6C"/>
    <w:rsid w:val="00882DEA"/>
    <w:rsid w:val="00882FF5"/>
    <w:rsid w:val="00883F8C"/>
    <w:rsid w:val="00885326"/>
    <w:rsid w:val="00885E1A"/>
    <w:rsid w:val="00885F86"/>
    <w:rsid w:val="00886045"/>
    <w:rsid w:val="00886407"/>
    <w:rsid w:val="008864E1"/>
    <w:rsid w:val="00887906"/>
    <w:rsid w:val="008902A7"/>
    <w:rsid w:val="00891BAE"/>
    <w:rsid w:val="00892110"/>
    <w:rsid w:val="008923F5"/>
    <w:rsid w:val="008926D9"/>
    <w:rsid w:val="00892D99"/>
    <w:rsid w:val="00892FF9"/>
    <w:rsid w:val="00893178"/>
    <w:rsid w:val="00893231"/>
    <w:rsid w:val="00893E1F"/>
    <w:rsid w:val="0089424D"/>
    <w:rsid w:val="0089479D"/>
    <w:rsid w:val="00894DAD"/>
    <w:rsid w:val="00894F57"/>
    <w:rsid w:val="008957BF"/>
    <w:rsid w:val="008958BC"/>
    <w:rsid w:val="00895D0C"/>
    <w:rsid w:val="00895D4F"/>
    <w:rsid w:val="008969F8"/>
    <w:rsid w:val="00896DCC"/>
    <w:rsid w:val="008974AC"/>
    <w:rsid w:val="00897A18"/>
    <w:rsid w:val="008A1533"/>
    <w:rsid w:val="008A1966"/>
    <w:rsid w:val="008A3367"/>
    <w:rsid w:val="008A392E"/>
    <w:rsid w:val="008A424F"/>
    <w:rsid w:val="008A4C23"/>
    <w:rsid w:val="008A54C6"/>
    <w:rsid w:val="008A5533"/>
    <w:rsid w:val="008A59AC"/>
    <w:rsid w:val="008A5B86"/>
    <w:rsid w:val="008A5DD1"/>
    <w:rsid w:val="008A5E24"/>
    <w:rsid w:val="008A62F0"/>
    <w:rsid w:val="008A67E3"/>
    <w:rsid w:val="008A6A91"/>
    <w:rsid w:val="008A756A"/>
    <w:rsid w:val="008A78B3"/>
    <w:rsid w:val="008B041D"/>
    <w:rsid w:val="008B150B"/>
    <w:rsid w:val="008B161C"/>
    <w:rsid w:val="008B1622"/>
    <w:rsid w:val="008B169F"/>
    <w:rsid w:val="008B1BE7"/>
    <w:rsid w:val="008B204F"/>
    <w:rsid w:val="008B2388"/>
    <w:rsid w:val="008B26C2"/>
    <w:rsid w:val="008B3285"/>
    <w:rsid w:val="008B3652"/>
    <w:rsid w:val="008B40C4"/>
    <w:rsid w:val="008B43A2"/>
    <w:rsid w:val="008B46E7"/>
    <w:rsid w:val="008B4AC6"/>
    <w:rsid w:val="008B638F"/>
    <w:rsid w:val="008B71D2"/>
    <w:rsid w:val="008B748B"/>
    <w:rsid w:val="008C1016"/>
    <w:rsid w:val="008C1657"/>
    <w:rsid w:val="008C1A3C"/>
    <w:rsid w:val="008C2534"/>
    <w:rsid w:val="008C3EDE"/>
    <w:rsid w:val="008C5A8E"/>
    <w:rsid w:val="008C5D10"/>
    <w:rsid w:val="008C64D7"/>
    <w:rsid w:val="008C7A9D"/>
    <w:rsid w:val="008D0060"/>
    <w:rsid w:val="008D0A9C"/>
    <w:rsid w:val="008D0D68"/>
    <w:rsid w:val="008D1F24"/>
    <w:rsid w:val="008D30DA"/>
    <w:rsid w:val="008D3906"/>
    <w:rsid w:val="008D40AA"/>
    <w:rsid w:val="008D42C0"/>
    <w:rsid w:val="008D5659"/>
    <w:rsid w:val="008D5BDD"/>
    <w:rsid w:val="008D5CBD"/>
    <w:rsid w:val="008D6126"/>
    <w:rsid w:val="008D64DD"/>
    <w:rsid w:val="008D7577"/>
    <w:rsid w:val="008D7925"/>
    <w:rsid w:val="008D7EA5"/>
    <w:rsid w:val="008E05A4"/>
    <w:rsid w:val="008E1BFD"/>
    <w:rsid w:val="008E2018"/>
    <w:rsid w:val="008E2215"/>
    <w:rsid w:val="008E25B6"/>
    <w:rsid w:val="008E31B4"/>
    <w:rsid w:val="008E350B"/>
    <w:rsid w:val="008E378C"/>
    <w:rsid w:val="008E37CB"/>
    <w:rsid w:val="008E3973"/>
    <w:rsid w:val="008E3CF7"/>
    <w:rsid w:val="008E4749"/>
    <w:rsid w:val="008E4F7D"/>
    <w:rsid w:val="008E5109"/>
    <w:rsid w:val="008E6DB4"/>
    <w:rsid w:val="008E7825"/>
    <w:rsid w:val="008E7C93"/>
    <w:rsid w:val="008E7E4B"/>
    <w:rsid w:val="008F118F"/>
    <w:rsid w:val="008F1385"/>
    <w:rsid w:val="008F178F"/>
    <w:rsid w:val="008F1B4D"/>
    <w:rsid w:val="008F1DE7"/>
    <w:rsid w:val="008F27C9"/>
    <w:rsid w:val="008F350E"/>
    <w:rsid w:val="008F4395"/>
    <w:rsid w:val="008F50C1"/>
    <w:rsid w:val="008F5230"/>
    <w:rsid w:val="008F5F54"/>
    <w:rsid w:val="008F6F45"/>
    <w:rsid w:val="008F7AAC"/>
    <w:rsid w:val="008F7BEE"/>
    <w:rsid w:val="0090026F"/>
    <w:rsid w:val="00900601"/>
    <w:rsid w:val="009017D9"/>
    <w:rsid w:val="00903059"/>
    <w:rsid w:val="00903AD0"/>
    <w:rsid w:val="00904199"/>
    <w:rsid w:val="009049E4"/>
    <w:rsid w:val="009054A7"/>
    <w:rsid w:val="00905830"/>
    <w:rsid w:val="00905B01"/>
    <w:rsid w:val="00905DF7"/>
    <w:rsid w:val="009108D6"/>
    <w:rsid w:val="00911174"/>
    <w:rsid w:val="00911B96"/>
    <w:rsid w:val="00912D49"/>
    <w:rsid w:val="00913457"/>
    <w:rsid w:val="00914050"/>
    <w:rsid w:val="00914085"/>
    <w:rsid w:val="00914C44"/>
    <w:rsid w:val="00915301"/>
    <w:rsid w:val="009155C2"/>
    <w:rsid w:val="00915779"/>
    <w:rsid w:val="00917355"/>
    <w:rsid w:val="00917581"/>
    <w:rsid w:val="0092045C"/>
    <w:rsid w:val="009227C3"/>
    <w:rsid w:val="00922E03"/>
    <w:rsid w:val="009232B2"/>
    <w:rsid w:val="0092421C"/>
    <w:rsid w:val="009246E3"/>
    <w:rsid w:val="009248A7"/>
    <w:rsid w:val="009248BA"/>
    <w:rsid w:val="009251BB"/>
    <w:rsid w:val="009251E2"/>
    <w:rsid w:val="009257DE"/>
    <w:rsid w:val="00925AF7"/>
    <w:rsid w:val="0092635C"/>
    <w:rsid w:val="00927333"/>
    <w:rsid w:val="00930618"/>
    <w:rsid w:val="009312E2"/>
    <w:rsid w:val="0093244C"/>
    <w:rsid w:val="00932F50"/>
    <w:rsid w:val="00933E62"/>
    <w:rsid w:val="00934F6A"/>
    <w:rsid w:val="00935929"/>
    <w:rsid w:val="00935EEE"/>
    <w:rsid w:val="009362FD"/>
    <w:rsid w:val="00936450"/>
    <w:rsid w:val="00936CF3"/>
    <w:rsid w:val="00937315"/>
    <w:rsid w:val="00940473"/>
    <w:rsid w:val="009406E7"/>
    <w:rsid w:val="00940CFD"/>
    <w:rsid w:val="00941066"/>
    <w:rsid w:val="00941C5E"/>
    <w:rsid w:val="00942759"/>
    <w:rsid w:val="00942936"/>
    <w:rsid w:val="00943F1C"/>
    <w:rsid w:val="009443F2"/>
    <w:rsid w:val="009446C4"/>
    <w:rsid w:val="009456AB"/>
    <w:rsid w:val="00945BDC"/>
    <w:rsid w:val="0094601D"/>
    <w:rsid w:val="00946162"/>
    <w:rsid w:val="009465C9"/>
    <w:rsid w:val="00946FE4"/>
    <w:rsid w:val="00947921"/>
    <w:rsid w:val="00947EA6"/>
    <w:rsid w:val="009502D5"/>
    <w:rsid w:val="0095137F"/>
    <w:rsid w:val="00951ADC"/>
    <w:rsid w:val="0095248F"/>
    <w:rsid w:val="00952550"/>
    <w:rsid w:val="00952CB6"/>
    <w:rsid w:val="00953547"/>
    <w:rsid w:val="00953608"/>
    <w:rsid w:val="009537E0"/>
    <w:rsid w:val="00954193"/>
    <w:rsid w:val="00954BBB"/>
    <w:rsid w:val="00956B03"/>
    <w:rsid w:val="00956D36"/>
    <w:rsid w:val="00956D54"/>
    <w:rsid w:val="0095703F"/>
    <w:rsid w:val="00957094"/>
    <w:rsid w:val="009579FE"/>
    <w:rsid w:val="00957B98"/>
    <w:rsid w:val="00957D4E"/>
    <w:rsid w:val="00960C74"/>
    <w:rsid w:val="00960EA1"/>
    <w:rsid w:val="00961150"/>
    <w:rsid w:val="009611AD"/>
    <w:rsid w:val="0096159F"/>
    <w:rsid w:val="00961E8A"/>
    <w:rsid w:val="0096212D"/>
    <w:rsid w:val="00962A8D"/>
    <w:rsid w:val="00963C67"/>
    <w:rsid w:val="009640D9"/>
    <w:rsid w:val="00964224"/>
    <w:rsid w:val="00964332"/>
    <w:rsid w:val="009646E2"/>
    <w:rsid w:val="009654CB"/>
    <w:rsid w:val="00965A0D"/>
    <w:rsid w:val="00965D8A"/>
    <w:rsid w:val="00965FC8"/>
    <w:rsid w:val="009666C8"/>
    <w:rsid w:val="00966758"/>
    <w:rsid w:val="0097036C"/>
    <w:rsid w:val="00971108"/>
    <w:rsid w:val="00972C0A"/>
    <w:rsid w:val="00973038"/>
    <w:rsid w:val="00973418"/>
    <w:rsid w:val="00975B52"/>
    <w:rsid w:val="0097600E"/>
    <w:rsid w:val="009766B3"/>
    <w:rsid w:val="00976BFB"/>
    <w:rsid w:val="00980685"/>
    <w:rsid w:val="00982303"/>
    <w:rsid w:val="00982D30"/>
    <w:rsid w:val="0098392B"/>
    <w:rsid w:val="00983CE9"/>
    <w:rsid w:val="00984E93"/>
    <w:rsid w:val="00985763"/>
    <w:rsid w:val="00986493"/>
    <w:rsid w:val="00986D25"/>
    <w:rsid w:val="009875A4"/>
    <w:rsid w:val="00987AAF"/>
    <w:rsid w:val="0099064B"/>
    <w:rsid w:val="0099148C"/>
    <w:rsid w:val="00991CF8"/>
    <w:rsid w:val="0099212E"/>
    <w:rsid w:val="00992D82"/>
    <w:rsid w:val="0099316D"/>
    <w:rsid w:val="00993717"/>
    <w:rsid w:val="00993BBE"/>
    <w:rsid w:val="00993D19"/>
    <w:rsid w:val="009944CF"/>
    <w:rsid w:val="00995CAB"/>
    <w:rsid w:val="00996339"/>
    <w:rsid w:val="0099716F"/>
    <w:rsid w:val="00997881"/>
    <w:rsid w:val="009A1036"/>
    <w:rsid w:val="009A1333"/>
    <w:rsid w:val="009A16B4"/>
    <w:rsid w:val="009A234F"/>
    <w:rsid w:val="009A26B3"/>
    <w:rsid w:val="009A273C"/>
    <w:rsid w:val="009A289B"/>
    <w:rsid w:val="009A2B16"/>
    <w:rsid w:val="009A2CB3"/>
    <w:rsid w:val="009A361B"/>
    <w:rsid w:val="009A445B"/>
    <w:rsid w:val="009A47E4"/>
    <w:rsid w:val="009A5610"/>
    <w:rsid w:val="009A6E2C"/>
    <w:rsid w:val="009A775A"/>
    <w:rsid w:val="009A7A29"/>
    <w:rsid w:val="009B07E1"/>
    <w:rsid w:val="009B1823"/>
    <w:rsid w:val="009B1AB2"/>
    <w:rsid w:val="009B26F3"/>
    <w:rsid w:val="009B2715"/>
    <w:rsid w:val="009B296D"/>
    <w:rsid w:val="009B29DA"/>
    <w:rsid w:val="009B33EE"/>
    <w:rsid w:val="009B355B"/>
    <w:rsid w:val="009B3FB8"/>
    <w:rsid w:val="009B4098"/>
    <w:rsid w:val="009B4D6A"/>
    <w:rsid w:val="009B4F19"/>
    <w:rsid w:val="009B508D"/>
    <w:rsid w:val="009B5119"/>
    <w:rsid w:val="009B5576"/>
    <w:rsid w:val="009B57F5"/>
    <w:rsid w:val="009B6224"/>
    <w:rsid w:val="009B64EB"/>
    <w:rsid w:val="009B67A0"/>
    <w:rsid w:val="009B6C07"/>
    <w:rsid w:val="009B70A6"/>
    <w:rsid w:val="009C09CE"/>
    <w:rsid w:val="009C0F15"/>
    <w:rsid w:val="009C0F39"/>
    <w:rsid w:val="009C217E"/>
    <w:rsid w:val="009C284B"/>
    <w:rsid w:val="009C2CA1"/>
    <w:rsid w:val="009C31AD"/>
    <w:rsid w:val="009C35C0"/>
    <w:rsid w:val="009C3CD7"/>
    <w:rsid w:val="009C4C5D"/>
    <w:rsid w:val="009C4F08"/>
    <w:rsid w:val="009C53E0"/>
    <w:rsid w:val="009C56CC"/>
    <w:rsid w:val="009C62E9"/>
    <w:rsid w:val="009C67D6"/>
    <w:rsid w:val="009C791C"/>
    <w:rsid w:val="009C7D35"/>
    <w:rsid w:val="009D01AB"/>
    <w:rsid w:val="009D01DA"/>
    <w:rsid w:val="009D0467"/>
    <w:rsid w:val="009D0839"/>
    <w:rsid w:val="009D17DA"/>
    <w:rsid w:val="009D1B96"/>
    <w:rsid w:val="009D2355"/>
    <w:rsid w:val="009D2724"/>
    <w:rsid w:val="009D3229"/>
    <w:rsid w:val="009D3FA4"/>
    <w:rsid w:val="009D5005"/>
    <w:rsid w:val="009D51FD"/>
    <w:rsid w:val="009D550D"/>
    <w:rsid w:val="009D5572"/>
    <w:rsid w:val="009D64D3"/>
    <w:rsid w:val="009D7B74"/>
    <w:rsid w:val="009E042E"/>
    <w:rsid w:val="009E04D3"/>
    <w:rsid w:val="009E0B67"/>
    <w:rsid w:val="009E107A"/>
    <w:rsid w:val="009E16FD"/>
    <w:rsid w:val="009E1E4A"/>
    <w:rsid w:val="009E1F47"/>
    <w:rsid w:val="009E211E"/>
    <w:rsid w:val="009E26C4"/>
    <w:rsid w:val="009E58EA"/>
    <w:rsid w:val="009E6103"/>
    <w:rsid w:val="009E6D7B"/>
    <w:rsid w:val="009E6DDF"/>
    <w:rsid w:val="009E7181"/>
    <w:rsid w:val="009E7E71"/>
    <w:rsid w:val="009F1245"/>
    <w:rsid w:val="009F14E5"/>
    <w:rsid w:val="009F290D"/>
    <w:rsid w:val="009F294F"/>
    <w:rsid w:val="009F2CD9"/>
    <w:rsid w:val="009F452A"/>
    <w:rsid w:val="009F53FE"/>
    <w:rsid w:val="009F595E"/>
    <w:rsid w:val="009F5E20"/>
    <w:rsid w:val="009F6555"/>
    <w:rsid w:val="009F6C70"/>
    <w:rsid w:val="009F6CFB"/>
    <w:rsid w:val="009F6DF3"/>
    <w:rsid w:val="009F73D1"/>
    <w:rsid w:val="009F7EE9"/>
    <w:rsid w:val="009F7FE5"/>
    <w:rsid w:val="00A0002D"/>
    <w:rsid w:val="00A00461"/>
    <w:rsid w:val="00A005F9"/>
    <w:rsid w:val="00A0213D"/>
    <w:rsid w:val="00A0347E"/>
    <w:rsid w:val="00A0383D"/>
    <w:rsid w:val="00A039B6"/>
    <w:rsid w:val="00A03AD4"/>
    <w:rsid w:val="00A03F4E"/>
    <w:rsid w:val="00A03FB6"/>
    <w:rsid w:val="00A05CF4"/>
    <w:rsid w:val="00A05F8E"/>
    <w:rsid w:val="00A06BC1"/>
    <w:rsid w:val="00A0745B"/>
    <w:rsid w:val="00A10678"/>
    <w:rsid w:val="00A1069D"/>
    <w:rsid w:val="00A1073E"/>
    <w:rsid w:val="00A10996"/>
    <w:rsid w:val="00A10D0F"/>
    <w:rsid w:val="00A11B5E"/>
    <w:rsid w:val="00A11E31"/>
    <w:rsid w:val="00A12192"/>
    <w:rsid w:val="00A1288C"/>
    <w:rsid w:val="00A12AFB"/>
    <w:rsid w:val="00A12DC6"/>
    <w:rsid w:val="00A12E8B"/>
    <w:rsid w:val="00A14127"/>
    <w:rsid w:val="00A14963"/>
    <w:rsid w:val="00A14C35"/>
    <w:rsid w:val="00A15754"/>
    <w:rsid w:val="00A158EB"/>
    <w:rsid w:val="00A16871"/>
    <w:rsid w:val="00A16E91"/>
    <w:rsid w:val="00A1704E"/>
    <w:rsid w:val="00A1797F"/>
    <w:rsid w:val="00A205F4"/>
    <w:rsid w:val="00A208E1"/>
    <w:rsid w:val="00A2248F"/>
    <w:rsid w:val="00A231FD"/>
    <w:rsid w:val="00A264E7"/>
    <w:rsid w:val="00A26982"/>
    <w:rsid w:val="00A26BEE"/>
    <w:rsid w:val="00A27B31"/>
    <w:rsid w:val="00A27F6E"/>
    <w:rsid w:val="00A30966"/>
    <w:rsid w:val="00A31D57"/>
    <w:rsid w:val="00A325D4"/>
    <w:rsid w:val="00A32667"/>
    <w:rsid w:val="00A33234"/>
    <w:rsid w:val="00A333B3"/>
    <w:rsid w:val="00A33755"/>
    <w:rsid w:val="00A3384C"/>
    <w:rsid w:val="00A33DD5"/>
    <w:rsid w:val="00A33FDD"/>
    <w:rsid w:val="00A3416A"/>
    <w:rsid w:val="00A342E6"/>
    <w:rsid w:val="00A3487E"/>
    <w:rsid w:val="00A34B01"/>
    <w:rsid w:val="00A34DBE"/>
    <w:rsid w:val="00A3575D"/>
    <w:rsid w:val="00A37116"/>
    <w:rsid w:val="00A37237"/>
    <w:rsid w:val="00A376FA"/>
    <w:rsid w:val="00A37D83"/>
    <w:rsid w:val="00A40C38"/>
    <w:rsid w:val="00A411E2"/>
    <w:rsid w:val="00A41C1F"/>
    <w:rsid w:val="00A41E8D"/>
    <w:rsid w:val="00A42C22"/>
    <w:rsid w:val="00A43A8D"/>
    <w:rsid w:val="00A43CE0"/>
    <w:rsid w:val="00A43FE8"/>
    <w:rsid w:val="00A44257"/>
    <w:rsid w:val="00A443A5"/>
    <w:rsid w:val="00A4488C"/>
    <w:rsid w:val="00A44F6D"/>
    <w:rsid w:val="00A45814"/>
    <w:rsid w:val="00A45FE8"/>
    <w:rsid w:val="00A46F96"/>
    <w:rsid w:val="00A47336"/>
    <w:rsid w:val="00A51BAA"/>
    <w:rsid w:val="00A5208F"/>
    <w:rsid w:val="00A5238D"/>
    <w:rsid w:val="00A52B30"/>
    <w:rsid w:val="00A53269"/>
    <w:rsid w:val="00A5384A"/>
    <w:rsid w:val="00A538EF"/>
    <w:rsid w:val="00A54156"/>
    <w:rsid w:val="00A54376"/>
    <w:rsid w:val="00A543C1"/>
    <w:rsid w:val="00A545C1"/>
    <w:rsid w:val="00A55068"/>
    <w:rsid w:val="00A5507A"/>
    <w:rsid w:val="00A55967"/>
    <w:rsid w:val="00A563E8"/>
    <w:rsid w:val="00A56A33"/>
    <w:rsid w:val="00A56BF0"/>
    <w:rsid w:val="00A578C5"/>
    <w:rsid w:val="00A60994"/>
    <w:rsid w:val="00A60CF6"/>
    <w:rsid w:val="00A61317"/>
    <w:rsid w:val="00A615C7"/>
    <w:rsid w:val="00A625BB"/>
    <w:rsid w:val="00A63781"/>
    <w:rsid w:val="00A638F3"/>
    <w:rsid w:val="00A63FCF"/>
    <w:rsid w:val="00A646CA"/>
    <w:rsid w:val="00A649AE"/>
    <w:rsid w:val="00A651BD"/>
    <w:rsid w:val="00A65DAA"/>
    <w:rsid w:val="00A66014"/>
    <w:rsid w:val="00A667D1"/>
    <w:rsid w:val="00A67094"/>
    <w:rsid w:val="00A676C9"/>
    <w:rsid w:val="00A67807"/>
    <w:rsid w:val="00A67B44"/>
    <w:rsid w:val="00A70207"/>
    <w:rsid w:val="00A71F17"/>
    <w:rsid w:val="00A73E0D"/>
    <w:rsid w:val="00A7449B"/>
    <w:rsid w:val="00A74658"/>
    <w:rsid w:val="00A75457"/>
    <w:rsid w:val="00A75CBF"/>
    <w:rsid w:val="00A77059"/>
    <w:rsid w:val="00A774D1"/>
    <w:rsid w:val="00A812D6"/>
    <w:rsid w:val="00A81840"/>
    <w:rsid w:val="00A81989"/>
    <w:rsid w:val="00A82386"/>
    <w:rsid w:val="00A825E6"/>
    <w:rsid w:val="00A834D6"/>
    <w:rsid w:val="00A83922"/>
    <w:rsid w:val="00A83AB8"/>
    <w:rsid w:val="00A83F58"/>
    <w:rsid w:val="00A84E0B"/>
    <w:rsid w:val="00A85769"/>
    <w:rsid w:val="00A86032"/>
    <w:rsid w:val="00A863EA"/>
    <w:rsid w:val="00A86A61"/>
    <w:rsid w:val="00A86C11"/>
    <w:rsid w:val="00A87299"/>
    <w:rsid w:val="00A875FB"/>
    <w:rsid w:val="00A87884"/>
    <w:rsid w:val="00A91BFD"/>
    <w:rsid w:val="00A92672"/>
    <w:rsid w:val="00A927BB"/>
    <w:rsid w:val="00A93165"/>
    <w:rsid w:val="00A936E9"/>
    <w:rsid w:val="00A94311"/>
    <w:rsid w:val="00A94B0B"/>
    <w:rsid w:val="00A957C3"/>
    <w:rsid w:val="00A95E4B"/>
    <w:rsid w:val="00A95E59"/>
    <w:rsid w:val="00A9727D"/>
    <w:rsid w:val="00A97BD8"/>
    <w:rsid w:val="00A97D2E"/>
    <w:rsid w:val="00A97FC7"/>
    <w:rsid w:val="00AA1047"/>
    <w:rsid w:val="00AA217A"/>
    <w:rsid w:val="00AA25A0"/>
    <w:rsid w:val="00AA2CEE"/>
    <w:rsid w:val="00AA33C7"/>
    <w:rsid w:val="00AA3A1F"/>
    <w:rsid w:val="00AA441B"/>
    <w:rsid w:val="00AA4AB9"/>
    <w:rsid w:val="00AA524C"/>
    <w:rsid w:val="00AA6AD1"/>
    <w:rsid w:val="00AA6CC7"/>
    <w:rsid w:val="00AA7337"/>
    <w:rsid w:val="00AB060D"/>
    <w:rsid w:val="00AB0ABC"/>
    <w:rsid w:val="00AB19BD"/>
    <w:rsid w:val="00AB1F4F"/>
    <w:rsid w:val="00AB3674"/>
    <w:rsid w:val="00AB3AD8"/>
    <w:rsid w:val="00AB4A87"/>
    <w:rsid w:val="00AB4DE5"/>
    <w:rsid w:val="00AB5888"/>
    <w:rsid w:val="00AB5CCA"/>
    <w:rsid w:val="00AC1883"/>
    <w:rsid w:val="00AC189F"/>
    <w:rsid w:val="00AC1976"/>
    <w:rsid w:val="00AC2861"/>
    <w:rsid w:val="00AC2DF2"/>
    <w:rsid w:val="00AC2E94"/>
    <w:rsid w:val="00AC34FA"/>
    <w:rsid w:val="00AC3C54"/>
    <w:rsid w:val="00AC43E5"/>
    <w:rsid w:val="00AC4B98"/>
    <w:rsid w:val="00AC5949"/>
    <w:rsid w:val="00AC5D34"/>
    <w:rsid w:val="00AC701F"/>
    <w:rsid w:val="00AD15C2"/>
    <w:rsid w:val="00AD1EB3"/>
    <w:rsid w:val="00AD2B46"/>
    <w:rsid w:val="00AD2E5B"/>
    <w:rsid w:val="00AD329B"/>
    <w:rsid w:val="00AD39FE"/>
    <w:rsid w:val="00AD3B62"/>
    <w:rsid w:val="00AD3E67"/>
    <w:rsid w:val="00AD4122"/>
    <w:rsid w:val="00AD498C"/>
    <w:rsid w:val="00AD5A91"/>
    <w:rsid w:val="00AD5DD7"/>
    <w:rsid w:val="00AD6069"/>
    <w:rsid w:val="00AD6811"/>
    <w:rsid w:val="00AD7213"/>
    <w:rsid w:val="00AE07F0"/>
    <w:rsid w:val="00AE0C6D"/>
    <w:rsid w:val="00AE0F87"/>
    <w:rsid w:val="00AE1317"/>
    <w:rsid w:val="00AE1AB2"/>
    <w:rsid w:val="00AE2355"/>
    <w:rsid w:val="00AE2542"/>
    <w:rsid w:val="00AE34D1"/>
    <w:rsid w:val="00AE352F"/>
    <w:rsid w:val="00AE35CB"/>
    <w:rsid w:val="00AE4504"/>
    <w:rsid w:val="00AE52F5"/>
    <w:rsid w:val="00AE5E78"/>
    <w:rsid w:val="00AE608A"/>
    <w:rsid w:val="00AE6969"/>
    <w:rsid w:val="00AE6ED1"/>
    <w:rsid w:val="00AE7151"/>
    <w:rsid w:val="00AE7495"/>
    <w:rsid w:val="00AE7BF6"/>
    <w:rsid w:val="00AF069C"/>
    <w:rsid w:val="00AF08EC"/>
    <w:rsid w:val="00AF0972"/>
    <w:rsid w:val="00AF0D16"/>
    <w:rsid w:val="00AF1894"/>
    <w:rsid w:val="00AF202B"/>
    <w:rsid w:val="00AF27DF"/>
    <w:rsid w:val="00AF362E"/>
    <w:rsid w:val="00AF39BE"/>
    <w:rsid w:val="00AF3B3F"/>
    <w:rsid w:val="00AF3C69"/>
    <w:rsid w:val="00AF4319"/>
    <w:rsid w:val="00AF469C"/>
    <w:rsid w:val="00AF57CD"/>
    <w:rsid w:val="00AF61F0"/>
    <w:rsid w:val="00AF63B7"/>
    <w:rsid w:val="00AF7716"/>
    <w:rsid w:val="00AF7BF2"/>
    <w:rsid w:val="00AF7CFE"/>
    <w:rsid w:val="00B018B5"/>
    <w:rsid w:val="00B02541"/>
    <w:rsid w:val="00B0308F"/>
    <w:rsid w:val="00B03FFF"/>
    <w:rsid w:val="00B04317"/>
    <w:rsid w:val="00B049DB"/>
    <w:rsid w:val="00B0507D"/>
    <w:rsid w:val="00B0582F"/>
    <w:rsid w:val="00B05921"/>
    <w:rsid w:val="00B06C4B"/>
    <w:rsid w:val="00B07029"/>
    <w:rsid w:val="00B100C2"/>
    <w:rsid w:val="00B10325"/>
    <w:rsid w:val="00B1041B"/>
    <w:rsid w:val="00B11B95"/>
    <w:rsid w:val="00B12515"/>
    <w:rsid w:val="00B1273F"/>
    <w:rsid w:val="00B12853"/>
    <w:rsid w:val="00B12D39"/>
    <w:rsid w:val="00B12D6E"/>
    <w:rsid w:val="00B12E3E"/>
    <w:rsid w:val="00B1327C"/>
    <w:rsid w:val="00B14C68"/>
    <w:rsid w:val="00B15C24"/>
    <w:rsid w:val="00B16628"/>
    <w:rsid w:val="00B17289"/>
    <w:rsid w:val="00B177B4"/>
    <w:rsid w:val="00B20CBC"/>
    <w:rsid w:val="00B21035"/>
    <w:rsid w:val="00B21855"/>
    <w:rsid w:val="00B224A4"/>
    <w:rsid w:val="00B22D2A"/>
    <w:rsid w:val="00B23017"/>
    <w:rsid w:val="00B239C8"/>
    <w:rsid w:val="00B244BE"/>
    <w:rsid w:val="00B2489E"/>
    <w:rsid w:val="00B27161"/>
    <w:rsid w:val="00B273AE"/>
    <w:rsid w:val="00B3036D"/>
    <w:rsid w:val="00B314F8"/>
    <w:rsid w:val="00B31D88"/>
    <w:rsid w:val="00B32405"/>
    <w:rsid w:val="00B33710"/>
    <w:rsid w:val="00B33910"/>
    <w:rsid w:val="00B33C0D"/>
    <w:rsid w:val="00B33D6B"/>
    <w:rsid w:val="00B340E6"/>
    <w:rsid w:val="00B3524F"/>
    <w:rsid w:val="00B35FEC"/>
    <w:rsid w:val="00B36544"/>
    <w:rsid w:val="00B36A14"/>
    <w:rsid w:val="00B375FA"/>
    <w:rsid w:val="00B409C1"/>
    <w:rsid w:val="00B416EF"/>
    <w:rsid w:val="00B41BA2"/>
    <w:rsid w:val="00B421EB"/>
    <w:rsid w:val="00B428A1"/>
    <w:rsid w:val="00B42BD1"/>
    <w:rsid w:val="00B42EAB"/>
    <w:rsid w:val="00B435A4"/>
    <w:rsid w:val="00B435FC"/>
    <w:rsid w:val="00B43E50"/>
    <w:rsid w:val="00B44039"/>
    <w:rsid w:val="00B44C67"/>
    <w:rsid w:val="00B451D9"/>
    <w:rsid w:val="00B45822"/>
    <w:rsid w:val="00B467CB"/>
    <w:rsid w:val="00B46E7C"/>
    <w:rsid w:val="00B47266"/>
    <w:rsid w:val="00B47559"/>
    <w:rsid w:val="00B47643"/>
    <w:rsid w:val="00B47672"/>
    <w:rsid w:val="00B47A0E"/>
    <w:rsid w:val="00B508CA"/>
    <w:rsid w:val="00B50C27"/>
    <w:rsid w:val="00B51672"/>
    <w:rsid w:val="00B51888"/>
    <w:rsid w:val="00B522EA"/>
    <w:rsid w:val="00B5231A"/>
    <w:rsid w:val="00B5299F"/>
    <w:rsid w:val="00B536D5"/>
    <w:rsid w:val="00B53DC4"/>
    <w:rsid w:val="00B5550A"/>
    <w:rsid w:val="00B56267"/>
    <w:rsid w:val="00B56A25"/>
    <w:rsid w:val="00B60031"/>
    <w:rsid w:val="00B60619"/>
    <w:rsid w:val="00B61066"/>
    <w:rsid w:val="00B61384"/>
    <w:rsid w:val="00B61E7B"/>
    <w:rsid w:val="00B61FFE"/>
    <w:rsid w:val="00B62B55"/>
    <w:rsid w:val="00B632F1"/>
    <w:rsid w:val="00B63B91"/>
    <w:rsid w:val="00B6503A"/>
    <w:rsid w:val="00B65645"/>
    <w:rsid w:val="00B66516"/>
    <w:rsid w:val="00B668D1"/>
    <w:rsid w:val="00B66DB0"/>
    <w:rsid w:val="00B66E23"/>
    <w:rsid w:val="00B67B8F"/>
    <w:rsid w:val="00B702E3"/>
    <w:rsid w:val="00B708F8"/>
    <w:rsid w:val="00B70D3B"/>
    <w:rsid w:val="00B70F00"/>
    <w:rsid w:val="00B71B43"/>
    <w:rsid w:val="00B71C0D"/>
    <w:rsid w:val="00B72838"/>
    <w:rsid w:val="00B733D4"/>
    <w:rsid w:val="00B741C4"/>
    <w:rsid w:val="00B7478F"/>
    <w:rsid w:val="00B74818"/>
    <w:rsid w:val="00B74B70"/>
    <w:rsid w:val="00B75242"/>
    <w:rsid w:val="00B754B0"/>
    <w:rsid w:val="00B762BD"/>
    <w:rsid w:val="00B764B4"/>
    <w:rsid w:val="00B7687F"/>
    <w:rsid w:val="00B76DDB"/>
    <w:rsid w:val="00B76F26"/>
    <w:rsid w:val="00B7731A"/>
    <w:rsid w:val="00B77C0A"/>
    <w:rsid w:val="00B80158"/>
    <w:rsid w:val="00B81115"/>
    <w:rsid w:val="00B815B7"/>
    <w:rsid w:val="00B81C27"/>
    <w:rsid w:val="00B821AB"/>
    <w:rsid w:val="00B8288F"/>
    <w:rsid w:val="00B83222"/>
    <w:rsid w:val="00B83A58"/>
    <w:rsid w:val="00B83B1C"/>
    <w:rsid w:val="00B84773"/>
    <w:rsid w:val="00B858F4"/>
    <w:rsid w:val="00B85EC9"/>
    <w:rsid w:val="00B874B8"/>
    <w:rsid w:val="00B87A11"/>
    <w:rsid w:val="00B902FF"/>
    <w:rsid w:val="00B90C2D"/>
    <w:rsid w:val="00B910D1"/>
    <w:rsid w:val="00B915D7"/>
    <w:rsid w:val="00B9198A"/>
    <w:rsid w:val="00B93350"/>
    <w:rsid w:val="00B934CE"/>
    <w:rsid w:val="00B9359C"/>
    <w:rsid w:val="00B9412E"/>
    <w:rsid w:val="00B9422E"/>
    <w:rsid w:val="00B952AC"/>
    <w:rsid w:val="00B953A4"/>
    <w:rsid w:val="00B953C4"/>
    <w:rsid w:val="00B95555"/>
    <w:rsid w:val="00B95CFC"/>
    <w:rsid w:val="00B96135"/>
    <w:rsid w:val="00B9634D"/>
    <w:rsid w:val="00B96DCE"/>
    <w:rsid w:val="00B97144"/>
    <w:rsid w:val="00B9795A"/>
    <w:rsid w:val="00B97D3F"/>
    <w:rsid w:val="00BA0399"/>
    <w:rsid w:val="00BA1BD7"/>
    <w:rsid w:val="00BA1CF8"/>
    <w:rsid w:val="00BA1F4E"/>
    <w:rsid w:val="00BA2165"/>
    <w:rsid w:val="00BA2415"/>
    <w:rsid w:val="00BA25FD"/>
    <w:rsid w:val="00BA275D"/>
    <w:rsid w:val="00BA3A01"/>
    <w:rsid w:val="00BA4027"/>
    <w:rsid w:val="00BA4506"/>
    <w:rsid w:val="00BA491C"/>
    <w:rsid w:val="00BA4937"/>
    <w:rsid w:val="00BA5A48"/>
    <w:rsid w:val="00BA6268"/>
    <w:rsid w:val="00BA673B"/>
    <w:rsid w:val="00BA6FB6"/>
    <w:rsid w:val="00BA76FE"/>
    <w:rsid w:val="00BB0E4F"/>
    <w:rsid w:val="00BB2DF6"/>
    <w:rsid w:val="00BB302A"/>
    <w:rsid w:val="00BB3965"/>
    <w:rsid w:val="00BB39BB"/>
    <w:rsid w:val="00BB3ED4"/>
    <w:rsid w:val="00BB43FE"/>
    <w:rsid w:val="00BB6961"/>
    <w:rsid w:val="00BB6BC4"/>
    <w:rsid w:val="00BB758F"/>
    <w:rsid w:val="00BB797C"/>
    <w:rsid w:val="00BB7A71"/>
    <w:rsid w:val="00BC0464"/>
    <w:rsid w:val="00BC0604"/>
    <w:rsid w:val="00BC0868"/>
    <w:rsid w:val="00BC0BC1"/>
    <w:rsid w:val="00BC14D2"/>
    <w:rsid w:val="00BC16B9"/>
    <w:rsid w:val="00BC1EF0"/>
    <w:rsid w:val="00BC25ED"/>
    <w:rsid w:val="00BC3063"/>
    <w:rsid w:val="00BC3780"/>
    <w:rsid w:val="00BC42E5"/>
    <w:rsid w:val="00BC47A7"/>
    <w:rsid w:val="00BC5D0F"/>
    <w:rsid w:val="00BC5E23"/>
    <w:rsid w:val="00BC6334"/>
    <w:rsid w:val="00BC6B18"/>
    <w:rsid w:val="00BC7B11"/>
    <w:rsid w:val="00BD02B6"/>
    <w:rsid w:val="00BD0905"/>
    <w:rsid w:val="00BD1668"/>
    <w:rsid w:val="00BD2CE0"/>
    <w:rsid w:val="00BD34EA"/>
    <w:rsid w:val="00BD5F82"/>
    <w:rsid w:val="00BD683C"/>
    <w:rsid w:val="00BD6B2F"/>
    <w:rsid w:val="00BD7E42"/>
    <w:rsid w:val="00BE03C7"/>
    <w:rsid w:val="00BE03FC"/>
    <w:rsid w:val="00BE08D7"/>
    <w:rsid w:val="00BE0AE8"/>
    <w:rsid w:val="00BE0D93"/>
    <w:rsid w:val="00BE0E52"/>
    <w:rsid w:val="00BE1286"/>
    <w:rsid w:val="00BE139C"/>
    <w:rsid w:val="00BE1E1A"/>
    <w:rsid w:val="00BE1F96"/>
    <w:rsid w:val="00BE28DF"/>
    <w:rsid w:val="00BE2D41"/>
    <w:rsid w:val="00BE3324"/>
    <w:rsid w:val="00BE38E0"/>
    <w:rsid w:val="00BE3DA9"/>
    <w:rsid w:val="00BE40A2"/>
    <w:rsid w:val="00BE4AEF"/>
    <w:rsid w:val="00BE4D74"/>
    <w:rsid w:val="00BE4E2D"/>
    <w:rsid w:val="00BE5763"/>
    <w:rsid w:val="00BE5FD0"/>
    <w:rsid w:val="00BE604C"/>
    <w:rsid w:val="00BE6C0E"/>
    <w:rsid w:val="00BE7FF3"/>
    <w:rsid w:val="00BF08B9"/>
    <w:rsid w:val="00BF17AA"/>
    <w:rsid w:val="00BF17BD"/>
    <w:rsid w:val="00BF31CB"/>
    <w:rsid w:val="00BF3925"/>
    <w:rsid w:val="00BF705A"/>
    <w:rsid w:val="00BF7462"/>
    <w:rsid w:val="00C0062D"/>
    <w:rsid w:val="00C00F38"/>
    <w:rsid w:val="00C00F73"/>
    <w:rsid w:val="00C01D27"/>
    <w:rsid w:val="00C02624"/>
    <w:rsid w:val="00C02A37"/>
    <w:rsid w:val="00C02D5D"/>
    <w:rsid w:val="00C02F72"/>
    <w:rsid w:val="00C02F85"/>
    <w:rsid w:val="00C039E6"/>
    <w:rsid w:val="00C04E3A"/>
    <w:rsid w:val="00C06CFA"/>
    <w:rsid w:val="00C07438"/>
    <w:rsid w:val="00C108E7"/>
    <w:rsid w:val="00C10BC1"/>
    <w:rsid w:val="00C116D0"/>
    <w:rsid w:val="00C117CC"/>
    <w:rsid w:val="00C1293A"/>
    <w:rsid w:val="00C1308F"/>
    <w:rsid w:val="00C134F4"/>
    <w:rsid w:val="00C13F1B"/>
    <w:rsid w:val="00C14671"/>
    <w:rsid w:val="00C149BB"/>
    <w:rsid w:val="00C14A45"/>
    <w:rsid w:val="00C14FD2"/>
    <w:rsid w:val="00C158A3"/>
    <w:rsid w:val="00C16DAC"/>
    <w:rsid w:val="00C1703C"/>
    <w:rsid w:val="00C1754F"/>
    <w:rsid w:val="00C17896"/>
    <w:rsid w:val="00C17FCE"/>
    <w:rsid w:val="00C200D2"/>
    <w:rsid w:val="00C20368"/>
    <w:rsid w:val="00C2134B"/>
    <w:rsid w:val="00C215F4"/>
    <w:rsid w:val="00C21B28"/>
    <w:rsid w:val="00C22371"/>
    <w:rsid w:val="00C22D6A"/>
    <w:rsid w:val="00C22E40"/>
    <w:rsid w:val="00C23EBF"/>
    <w:rsid w:val="00C25220"/>
    <w:rsid w:val="00C2534B"/>
    <w:rsid w:val="00C261CF"/>
    <w:rsid w:val="00C26219"/>
    <w:rsid w:val="00C2636B"/>
    <w:rsid w:val="00C2711C"/>
    <w:rsid w:val="00C275C8"/>
    <w:rsid w:val="00C30131"/>
    <w:rsid w:val="00C319C6"/>
    <w:rsid w:val="00C32A73"/>
    <w:rsid w:val="00C340E9"/>
    <w:rsid w:val="00C3444A"/>
    <w:rsid w:val="00C34450"/>
    <w:rsid w:val="00C3479D"/>
    <w:rsid w:val="00C365F9"/>
    <w:rsid w:val="00C366C7"/>
    <w:rsid w:val="00C367E5"/>
    <w:rsid w:val="00C3684C"/>
    <w:rsid w:val="00C36BE1"/>
    <w:rsid w:val="00C4019B"/>
    <w:rsid w:val="00C40484"/>
    <w:rsid w:val="00C40B97"/>
    <w:rsid w:val="00C413DE"/>
    <w:rsid w:val="00C41515"/>
    <w:rsid w:val="00C42899"/>
    <w:rsid w:val="00C429A7"/>
    <w:rsid w:val="00C42CE3"/>
    <w:rsid w:val="00C42DBB"/>
    <w:rsid w:val="00C4324F"/>
    <w:rsid w:val="00C4344F"/>
    <w:rsid w:val="00C43727"/>
    <w:rsid w:val="00C4486B"/>
    <w:rsid w:val="00C45B72"/>
    <w:rsid w:val="00C45FDB"/>
    <w:rsid w:val="00C4601B"/>
    <w:rsid w:val="00C464E9"/>
    <w:rsid w:val="00C46CC4"/>
    <w:rsid w:val="00C46D15"/>
    <w:rsid w:val="00C46FA7"/>
    <w:rsid w:val="00C47843"/>
    <w:rsid w:val="00C50377"/>
    <w:rsid w:val="00C5044C"/>
    <w:rsid w:val="00C50774"/>
    <w:rsid w:val="00C509E8"/>
    <w:rsid w:val="00C510C9"/>
    <w:rsid w:val="00C511AB"/>
    <w:rsid w:val="00C51F31"/>
    <w:rsid w:val="00C52A2C"/>
    <w:rsid w:val="00C53040"/>
    <w:rsid w:val="00C54D82"/>
    <w:rsid w:val="00C5502F"/>
    <w:rsid w:val="00C56FB8"/>
    <w:rsid w:val="00C607DB"/>
    <w:rsid w:val="00C61446"/>
    <w:rsid w:val="00C61671"/>
    <w:rsid w:val="00C61AED"/>
    <w:rsid w:val="00C61C48"/>
    <w:rsid w:val="00C61C53"/>
    <w:rsid w:val="00C622D5"/>
    <w:rsid w:val="00C623FA"/>
    <w:rsid w:val="00C62761"/>
    <w:rsid w:val="00C62D9A"/>
    <w:rsid w:val="00C632AF"/>
    <w:rsid w:val="00C633D0"/>
    <w:rsid w:val="00C63659"/>
    <w:rsid w:val="00C63B42"/>
    <w:rsid w:val="00C63D6F"/>
    <w:rsid w:val="00C63E55"/>
    <w:rsid w:val="00C641B2"/>
    <w:rsid w:val="00C64BBA"/>
    <w:rsid w:val="00C64E03"/>
    <w:rsid w:val="00C6547A"/>
    <w:rsid w:val="00C65557"/>
    <w:rsid w:val="00C65E5F"/>
    <w:rsid w:val="00C66221"/>
    <w:rsid w:val="00C668DB"/>
    <w:rsid w:val="00C66F92"/>
    <w:rsid w:val="00C67FAF"/>
    <w:rsid w:val="00C70130"/>
    <w:rsid w:val="00C71770"/>
    <w:rsid w:val="00C71F1A"/>
    <w:rsid w:val="00C7320C"/>
    <w:rsid w:val="00C74168"/>
    <w:rsid w:val="00C74A1C"/>
    <w:rsid w:val="00C74ACA"/>
    <w:rsid w:val="00C74EA4"/>
    <w:rsid w:val="00C75C2C"/>
    <w:rsid w:val="00C77283"/>
    <w:rsid w:val="00C77298"/>
    <w:rsid w:val="00C77694"/>
    <w:rsid w:val="00C77E8F"/>
    <w:rsid w:val="00C802B4"/>
    <w:rsid w:val="00C828F6"/>
    <w:rsid w:val="00C833AC"/>
    <w:rsid w:val="00C83423"/>
    <w:rsid w:val="00C8393F"/>
    <w:rsid w:val="00C84BFA"/>
    <w:rsid w:val="00C85C44"/>
    <w:rsid w:val="00C86166"/>
    <w:rsid w:val="00C86AC0"/>
    <w:rsid w:val="00C87427"/>
    <w:rsid w:val="00C8749E"/>
    <w:rsid w:val="00C87E7D"/>
    <w:rsid w:val="00C903C6"/>
    <w:rsid w:val="00C90A07"/>
    <w:rsid w:val="00C91199"/>
    <w:rsid w:val="00C9173E"/>
    <w:rsid w:val="00C92489"/>
    <w:rsid w:val="00C92FE7"/>
    <w:rsid w:val="00C93647"/>
    <w:rsid w:val="00C94E6E"/>
    <w:rsid w:val="00C953AB"/>
    <w:rsid w:val="00C9563A"/>
    <w:rsid w:val="00C963E9"/>
    <w:rsid w:val="00C965B1"/>
    <w:rsid w:val="00C97CA9"/>
    <w:rsid w:val="00CA039A"/>
    <w:rsid w:val="00CA11BB"/>
    <w:rsid w:val="00CA1E23"/>
    <w:rsid w:val="00CA4108"/>
    <w:rsid w:val="00CA420F"/>
    <w:rsid w:val="00CA439B"/>
    <w:rsid w:val="00CA523E"/>
    <w:rsid w:val="00CA5D10"/>
    <w:rsid w:val="00CA613E"/>
    <w:rsid w:val="00CA6392"/>
    <w:rsid w:val="00CA676B"/>
    <w:rsid w:val="00CA7823"/>
    <w:rsid w:val="00CA7DB9"/>
    <w:rsid w:val="00CB0670"/>
    <w:rsid w:val="00CB0B16"/>
    <w:rsid w:val="00CB0D91"/>
    <w:rsid w:val="00CB0DAD"/>
    <w:rsid w:val="00CB2EF8"/>
    <w:rsid w:val="00CB3112"/>
    <w:rsid w:val="00CB3D90"/>
    <w:rsid w:val="00CB5958"/>
    <w:rsid w:val="00CB6161"/>
    <w:rsid w:val="00CB7B62"/>
    <w:rsid w:val="00CC044A"/>
    <w:rsid w:val="00CC1609"/>
    <w:rsid w:val="00CC16B4"/>
    <w:rsid w:val="00CC56ED"/>
    <w:rsid w:val="00CC5D17"/>
    <w:rsid w:val="00CC61D4"/>
    <w:rsid w:val="00CC7672"/>
    <w:rsid w:val="00CC79A8"/>
    <w:rsid w:val="00CC7F1A"/>
    <w:rsid w:val="00CD0965"/>
    <w:rsid w:val="00CD1053"/>
    <w:rsid w:val="00CD1121"/>
    <w:rsid w:val="00CD1706"/>
    <w:rsid w:val="00CD1D22"/>
    <w:rsid w:val="00CD257A"/>
    <w:rsid w:val="00CD2664"/>
    <w:rsid w:val="00CD2D2C"/>
    <w:rsid w:val="00CD2E39"/>
    <w:rsid w:val="00CD2FC6"/>
    <w:rsid w:val="00CD32E9"/>
    <w:rsid w:val="00CD3F5A"/>
    <w:rsid w:val="00CD424F"/>
    <w:rsid w:val="00CD4451"/>
    <w:rsid w:val="00CD586D"/>
    <w:rsid w:val="00CD5A08"/>
    <w:rsid w:val="00CD625A"/>
    <w:rsid w:val="00CD63D3"/>
    <w:rsid w:val="00CD6D11"/>
    <w:rsid w:val="00CD71A4"/>
    <w:rsid w:val="00CD739E"/>
    <w:rsid w:val="00CD7869"/>
    <w:rsid w:val="00CD79CB"/>
    <w:rsid w:val="00CE032B"/>
    <w:rsid w:val="00CE04B6"/>
    <w:rsid w:val="00CE0EAC"/>
    <w:rsid w:val="00CE164F"/>
    <w:rsid w:val="00CE1B79"/>
    <w:rsid w:val="00CE271F"/>
    <w:rsid w:val="00CE2739"/>
    <w:rsid w:val="00CE2CDC"/>
    <w:rsid w:val="00CE3B81"/>
    <w:rsid w:val="00CE4515"/>
    <w:rsid w:val="00CE4AA4"/>
    <w:rsid w:val="00CE6864"/>
    <w:rsid w:val="00CE6F00"/>
    <w:rsid w:val="00CE732B"/>
    <w:rsid w:val="00CE7C76"/>
    <w:rsid w:val="00CF06F9"/>
    <w:rsid w:val="00CF1038"/>
    <w:rsid w:val="00CF124E"/>
    <w:rsid w:val="00CF1B85"/>
    <w:rsid w:val="00CF222B"/>
    <w:rsid w:val="00CF2384"/>
    <w:rsid w:val="00CF30B1"/>
    <w:rsid w:val="00CF3130"/>
    <w:rsid w:val="00CF31DD"/>
    <w:rsid w:val="00CF3528"/>
    <w:rsid w:val="00CF5508"/>
    <w:rsid w:val="00CF5D06"/>
    <w:rsid w:val="00CF5F72"/>
    <w:rsid w:val="00CF61D3"/>
    <w:rsid w:val="00CF63DE"/>
    <w:rsid w:val="00CF69DC"/>
    <w:rsid w:val="00CF731C"/>
    <w:rsid w:val="00D005F5"/>
    <w:rsid w:val="00D00CE9"/>
    <w:rsid w:val="00D01433"/>
    <w:rsid w:val="00D0157F"/>
    <w:rsid w:val="00D01C2C"/>
    <w:rsid w:val="00D01C5C"/>
    <w:rsid w:val="00D01EC0"/>
    <w:rsid w:val="00D0235C"/>
    <w:rsid w:val="00D02724"/>
    <w:rsid w:val="00D0324B"/>
    <w:rsid w:val="00D03B53"/>
    <w:rsid w:val="00D0406A"/>
    <w:rsid w:val="00D042CC"/>
    <w:rsid w:val="00D05A88"/>
    <w:rsid w:val="00D05E3F"/>
    <w:rsid w:val="00D05F85"/>
    <w:rsid w:val="00D066F2"/>
    <w:rsid w:val="00D06702"/>
    <w:rsid w:val="00D06C46"/>
    <w:rsid w:val="00D06EF4"/>
    <w:rsid w:val="00D073CA"/>
    <w:rsid w:val="00D0761D"/>
    <w:rsid w:val="00D0763B"/>
    <w:rsid w:val="00D077A1"/>
    <w:rsid w:val="00D078DC"/>
    <w:rsid w:val="00D1019D"/>
    <w:rsid w:val="00D101B6"/>
    <w:rsid w:val="00D106D9"/>
    <w:rsid w:val="00D110F0"/>
    <w:rsid w:val="00D12172"/>
    <w:rsid w:val="00D121C7"/>
    <w:rsid w:val="00D12C78"/>
    <w:rsid w:val="00D13E0A"/>
    <w:rsid w:val="00D14CB0"/>
    <w:rsid w:val="00D14E7C"/>
    <w:rsid w:val="00D1549B"/>
    <w:rsid w:val="00D15FFC"/>
    <w:rsid w:val="00D1639E"/>
    <w:rsid w:val="00D16E2E"/>
    <w:rsid w:val="00D177B6"/>
    <w:rsid w:val="00D17940"/>
    <w:rsid w:val="00D17B04"/>
    <w:rsid w:val="00D20DDB"/>
    <w:rsid w:val="00D21A71"/>
    <w:rsid w:val="00D220A4"/>
    <w:rsid w:val="00D2240C"/>
    <w:rsid w:val="00D246C5"/>
    <w:rsid w:val="00D25331"/>
    <w:rsid w:val="00D274C7"/>
    <w:rsid w:val="00D27AE7"/>
    <w:rsid w:val="00D3051A"/>
    <w:rsid w:val="00D30898"/>
    <w:rsid w:val="00D311B4"/>
    <w:rsid w:val="00D317FA"/>
    <w:rsid w:val="00D32395"/>
    <w:rsid w:val="00D326B0"/>
    <w:rsid w:val="00D327F6"/>
    <w:rsid w:val="00D3285B"/>
    <w:rsid w:val="00D32B60"/>
    <w:rsid w:val="00D34102"/>
    <w:rsid w:val="00D36E54"/>
    <w:rsid w:val="00D37207"/>
    <w:rsid w:val="00D37700"/>
    <w:rsid w:val="00D37891"/>
    <w:rsid w:val="00D3799C"/>
    <w:rsid w:val="00D41F76"/>
    <w:rsid w:val="00D42185"/>
    <w:rsid w:val="00D428C0"/>
    <w:rsid w:val="00D42DC3"/>
    <w:rsid w:val="00D44266"/>
    <w:rsid w:val="00D44527"/>
    <w:rsid w:val="00D4498D"/>
    <w:rsid w:val="00D4510B"/>
    <w:rsid w:val="00D46E4F"/>
    <w:rsid w:val="00D46F58"/>
    <w:rsid w:val="00D47034"/>
    <w:rsid w:val="00D5060F"/>
    <w:rsid w:val="00D5194B"/>
    <w:rsid w:val="00D51E1A"/>
    <w:rsid w:val="00D531BE"/>
    <w:rsid w:val="00D5474C"/>
    <w:rsid w:val="00D54C98"/>
    <w:rsid w:val="00D54DAA"/>
    <w:rsid w:val="00D54DB6"/>
    <w:rsid w:val="00D55273"/>
    <w:rsid w:val="00D556D1"/>
    <w:rsid w:val="00D56689"/>
    <w:rsid w:val="00D601DD"/>
    <w:rsid w:val="00D6288F"/>
    <w:rsid w:val="00D6409B"/>
    <w:rsid w:val="00D64497"/>
    <w:rsid w:val="00D64C83"/>
    <w:rsid w:val="00D64D42"/>
    <w:rsid w:val="00D64D5E"/>
    <w:rsid w:val="00D655E8"/>
    <w:rsid w:val="00D662A1"/>
    <w:rsid w:val="00D66315"/>
    <w:rsid w:val="00D66C02"/>
    <w:rsid w:val="00D67248"/>
    <w:rsid w:val="00D67BCA"/>
    <w:rsid w:val="00D67CFC"/>
    <w:rsid w:val="00D67E29"/>
    <w:rsid w:val="00D7016E"/>
    <w:rsid w:val="00D71546"/>
    <w:rsid w:val="00D72035"/>
    <w:rsid w:val="00D725D5"/>
    <w:rsid w:val="00D736F1"/>
    <w:rsid w:val="00D740B4"/>
    <w:rsid w:val="00D75324"/>
    <w:rsid w:val="00D7542A"/>
    <w:rsid w:val="00D75596"/>
    <w:rsid w:val="00D75760"/>
    <w:rsid w:val="00D75895"/>
    <w:rsid w:val="00D7591C"/>
    <w:rsid w:val="00D7593A"/>
    <w:rsid w:val="00D75A30"/>
    <w:rsid w:val="00D76021"/>
    <w:rsid w:val="00D76866"/>
    <w:rsid w:val="00D76E0C"/>
    <w:rsid w:val="00D773D6"/>
    <w:rsid w:val="00D77E16"/>
    <w:rsid w:val="00D80245"/>
    <w:rsid w:val="00D80ACF"/>
    <w:rsid w:val="00D81657"/>
    <w:rsid w:val="00D8228B"/>
    <w:rsid w:val="00D822C2"/>
    <w:rsid w:val="00D822FC"/>
    <w:rsid w:val="00D82BBC"/>
    <w:rsid w:val="00D8377A"/>
    <w:rsid w:val="00D83A44"/>
    <w:rsid w:val="00D83B8C"/>
    <w:rsid w:val="00D844D0"/>
    <w:rsid w:val="00D84BDF"/>
    <w:rsid w:val="00D85B3B"/>
    <w:rsid w:val="00D85C6C"/>
    <w:rsid w:val="00D86776"/>
    <w:rsid w:val="00D87B7D"/>
    <w:rsid w:val="00D91187"/>
    <w:rsid w:val="00D92F71"/>
    <w:rsid w:val="00D9300D"/>
    <w:rsid w:val="00D94A3D"/>
    <w:rsid w:val="00D95EE7"/>
    <w:rsid w:val="00D96E25"/>
    <w:rsid w:val="00DA0C36"/>
    <w:rsid w:val="00DA0DB3"/>
    <w:rsid w:val="00DA11CD"/>
    <w:rsid w:val="00DA121E"/>
    <w:rsid w:val="00DA16C3"/>
    <w:rsid w:val="00DA1B1B"/>
    <w:rsid w:val="00DA1C48"/>
    <w:rsid w:val="00DA1DF4"/>
    <w:rsid w:val="00DA27CD"/>
    <w:rsid w:val="00DA2E5A"/>
    <w:rsid w:val="00DA474A"/>
    <w:rsid w:val="00DA4854"/>
    <w:rsid w:val="00DA4D15"/>
    <w:rsid w:val="00DA599F"/>
    <w:rsid w:val="00DB0A79"/>
    <w:rsid w:val="00DB0FC1"/>
    <w:rsid w:val="00DB169A"/>
    <w:rsid w:val="00DB2FD8"/>
    <w:rsid w:val="00DB3080"/>
    <w:rsid w:val="00DB39F8"/>
    <w:rsid w:val="00DB53A9"/>
    <w:rsid w:val="00DB5463"/>
    <w:rsid w:val="00DB556B"/>
    <w:rsid w:val="00DB6650"/>
    <w:rsid w:val="00DB67AC"/>
    <w:rsid w:val="00DB6812"/>
    <w:rsid w:val="00DB6B11"/>
    <w:rsid w:val="00DB7101"/>
    <w:rsid w:val="00DB744F"/>
    <w:rsid w:val="00DB7815"/>
    <w:rsid w:val="00DC18E2"/>
    <w:rsid w:val="00DC1FCC"/>
    <w:rsid w:val="00DC3218"/>
    <w:rsid w:val="00DC40F3"/>
    <w:rsid w:val="00DC480A"/>
    <w:rsid w:val="00DC4ACB"/>
    <w:rsid w:val="00DC504E"/>
    <w:rsid w:val="00DC598D"/>
    <w:rsid w:val="00DC6061"/>
    <w:rsid w:val="00DD027B"/>
    <w:rsid w:val="00DD08F4"/>
    <w:rsid w:val="00DD11F7"/>
    <w:rsid w:val="00DD1360"/>
    <w:rsid w:val="00DD2C79"/>
    <w:rsid w:val="00DD413F"/>
    <w:rsid w:val="00DD4275"/>
    <w:rsid w:val="00DD4307"/>
    <w:rsid w:val="00DD4747"/>
    <w:rsid w:val="00DD4925"/>
    <w:rsid w:val="00DD4C52"/>
    <w:rsid w:val="00DD53CF"/>
    <w:rsid w:val="00DD5915"/>
    <w:rsid w:val="00DD5EFF"/>
    <w:rsid w:val="00DD6430"/>
    <w:rsid w:val="00DD7B82"/>
    <w:rsid w:val="00DE171D"/>
    <w:rsid w:val="00DE1E57"/>
    <w:rsid w:val="00DE1EBF"/>
    <w:rsid w:val="00DE23D2"/>
    <w:rsid w:val="00DE3075"/>
    <w:rsid w:val="00DE3585"/>
    <w:rsid w:val="00DE3B3E"/>
    <w:rsid w:val="00DE4CEE"/>
    <w:rsid w:val="00DE4FF3"/>
    <w:rsid w:val="00DE5379"/>
    <w:rsid w:val="00DE53B2"/>
    <w:rsid w:val="00DE5CF9"/>
    <w:rsid w:val="00DE5E31"/>
    <w:rsid w:val="00DE6864"/>
    <w:rsid w:val="00DE6939"/>
    <w:rsid w:val="00DE70B3"/>
    <w:rsid w:val="00DE72F2"/>
    <w:rsid w:val="00DE74C0"/>
    <w:rsid w:val="00DE76C7"/>
    <w:rsid w:val="00DE7D5D"/>
    <w:rsid w:val="00DF0C66"/>
    <w:rsid w:val="00DF1521"/>
    <w:rsid w:val="00DF1ECC"/>
    <w:rsid w:val="00DF20C1"/>
    <w:rsid w:val="00DF226E"/>
    <w:rsid w:val="00DF292D"/>
    <w:rsid w:val="00DF32D6"/>
    <w:rsid w:val="00DF388C"/>
    <w:rsid w:val="00DF3D03"/>
    <w:rsid w:val="00DF3DD9"/>
    <w:rsid w:val="00DF5493"/>
    <w:rsid w:val="00DF7428"/>
    <w:rsid w:val="00DF75E4"/>
    <w:rsid w:val="00E0003E"/>
    <w:rsid w:val="00E00369"/>
    <w:rsid w:val="00E007DA"/>
    <w:rsid w:val="00E00FA7"/>
    <w:rsid w:val="00E018F2"/>
    <w:rsid w:val="00E02200"/>
    <w:rsid w:val="00E0224D"/>
    <w:rsid w:val="00E02417"/>
    <w:rsid w:val="00E02769"/>
    <w:rsid w:val="00E030BD"/>
    <w:rsid w:val="00E040BB"/>
    <w:rsid w:val="00E043DC"/>
    <w:rsid w:val="00E04794"/>
    <w:rsid w:val="00E04C56"/>
    <w:rsid w:val="00E051C5"/>
    <w:rsid w:val="00E065B8"/>
    <w:rsid w:val="00E07472"/>
    <w:rsid w:val="00E07A0C"/>
    <w:rsid w:val="00E100CD"/>
    <w:rsid w:val="00E11FA7"/>
    <w:rsid w:val="00E12111"/>
    <w:rsid w:val="00E12758"/>
    <w:rsid w:val="00E13F2C"/>
    <w:rsid w:val="00E16A1B"/>
    <w:rsid w:val="00E16A6D"/>
    <w:rsid w:val="00E170E9"/>
    <w:rsid w:val="00E174D2"/>
    <w:rsid w:val="00E17CDE"/>
    <w:rsid w:val="00E2033F"/>
    <w:rsid w:val="00E210F7"/>
    <w:rsid w:val="00E21268"/>
    <w:rsid w:val="00E21B7E"/>
    <w:rsid w:val="00E21CA4"/>
    <w:rsid w:val="00E21E60"/>
    <w:rsid w:val="00E226B5"/>
    <w:rsid w:val="00E22C79"/>
    <w:rsid w:val="00E22EB6"/>
    <w:rsid w:val="00E2349C"/>
    <w:rsid w:val="00E23F00"/>
    <w:rsid w:val="00E247A9"/>
    <w:rsid w:val="00E2488D"/>
    <w:rsid w:val="00E24AC8"/>
    <w:rsid w:val="00E24DE0"/>
    <w:rsid w:val="00E25238"/>
    <w:rsid w:val="00E25593"/>
    <w:rsid w:val="00E25D3E"/>
    <w:rsid w:val="00E2621E"/>
    <w:rsid w:val="00E262AF"/>
    <w:rsid w:val="00E26FCD"/>
    <w:rsid w:val="00E27674"/>
    <w:rsid w:val="00E2791A"/>
    <w:rsid w:val="00E27F3E"/>
    <w:rsid w:val="00E301B4"/>
    <w:rsid w:val="00E303CA"/>
    <w:rsid w:val="00E31B06"/>
    <w:rsid w:val="00E3233A"/>
    <w:rsid w:val="00E32B2C"/>
    <w:rsid w:val="00E33EAB"/>
    <w:rsid w:val="00E347AD"/>
    <w:rsid w:val="00E34D31"/>
    <w:rsid w:val="00E35A51"/>
    <w:rsid w:val="00E364C1"/>
    <w:rsid w:val="00E372E2"/>
    <w:rsid w:val="00E41E2F"/>
    <w:rsid w:val="00E42071"/>
    <w:rsid w:val="00E42236"/>
    <w:rsid w:val="00E427EA"/>
    <w:rsid w:val="00E42B20"/>
    <w:rsid w:val="00E43733"/>
    <w:rsid w:val="00E43906"/>
    <w:rsid w:val="00E44728"/>
    <w:rsid w:val="00E45956"/>
    <w:rsid w:val="00E47661"/>
    <w:rsid w:val="00E5173D"/>
    <w:rsid w:val="00E51887"/>
    <w:rsid w:val="00E51D9B"/>
    <w:rsid w:val="00E51FA4"/>
    <w:rsid w:val="00E53B62"/>
    <w:rsid w:val="00E53C90"/>
    <w:rsid w:val="00E559E7"/>
    <w:rsid w:val="00E55DAC"/>
    <w:rsid w:val="00E5629B"/>
    <w:rsid w:val="00E56B7F"/>
    <w:rsid w:val="00E56F91"/>
    <w:rsid w:val="00E57661"/>
    <w:rsid w:val="00E609DE"/>
    <w:rsid w:val="00E63300"/>
    <w:rsid w:val="00E64284"/>
    <w:rsid w:val="00E6462B"/>
    <w:rsid w:val="00E656D0"/>
    <w:rsid w:val="00E657A1"/>
    <w:rsid w:val="00E65B92"/>
    <w:rsid w:val="00E6630C"/>
    <w:rsid w:val="00E6656F"/>
    <w:rsid w:val="00E66EE2"/>
    <w:rsid w:val="00E67020"/>
    <w:rsid w:val="00E672A4"/>
    <w:rsid w:val="00E67C8F"/>
    <w:rsid w:val="00E67E56"/>
    <w:rsid w:val="00E70561"/>
    <w:rsid w:val="00E717AE"/>
    <w:rsid w:val="00E719E0"/>
    <w:rsid w:val="00E722D5"/>
    <w:rsid w:val="00E72827"/>
    <w:rsid w:val="00E7332C"/>
    <w:rsid w:val="00E73BD7"/>
    <w:rsid w:val="00E73FDF"/>
    <w:rsid w:val="00E743AC"/>
    <w:rsid w:val="00E74412"/>
    <w:rsid w:val="00E74A3C"/>
    <w:rsid w:val="00E74CAC"/>
    <w:rsid w:val="00E74CFC"/>
    <w:rsid w:val="00E74DD7"/>
    <w:rsid w:val="00E74E36"/>
    <w:rsid w:val="00E753E3"/>
    <w:rsid w:val="00E7545F"/>
    <w:rsid w:val="00E75EE6"/>
    <w:rsid w:val="00E76618"/>
    <w:rsid w:val="00E766A4"/>
    <w:rsid w:val="00E76D7F"/>
    <w:rsid w:val="00E77495"/>
    <w:rsid w:val="00E77AC1"/>
    <w:rsid w:val="00E80A21"/>
    <w:rsid w:val="00E80BFD"/>
    <w:rsid w:val="00E80E6F"/>
    <w:rsid w:val="00E80EB4"/>
    <w:rsid w:val="00E82214"/>
    <w:rsid w:val="00E823D3"/>
    <w:rsid w:val="00E82A9D"/>
    <w:rsid w:val="00E82D1B"/>
    <w:rsid w:val="00E83271"/>
    <w:rsid w:val="00E83682"/>
    <w:rsid w:val="00E846B6"/>
    <w:rsid w:val="00E8487F"/>
    <w:rsid w:val="00E8621A"/>
    <w:rsid w:val="00E86E56"/>
    <w:rsid w:val="00E87633"/>
    <w:rsid w:val="00E87FE1"/>
    <w:rsid w:val="00E90BE2"/>
    <w:rsid w:val="00E912EF"/>
    <w:rsid w:val="00E915AD"/>
    <w:rsid w:val="00E9190D"/>
    <w:rsid w:val="00E91A1F"/>
    <w:rsid w:val="00E92CCB"/>
    <w:rsid w:val="00E93840"/>
    <w:rsid w:val="00E948B0"/>
    <w:rsid w:val="00E94C60"/>
    <w:rsid w:val="00E94E01"/>
    <w:rsid w:val="00E95ACA"/>
    <w:rsid w:val="00E9729E"/>
    <w:rsid w:val="00E97557"/>
    <w:rsid w:val="00EA01D3"/>
    <w:rsid w:val="00EA0DF5"/>
    <w:rsid w:val="00EA1DFD"/>
    <w:rsid w:val="00EA20B5"/>
    <w:rsid w:val="00EA225C"/>
    <w:rsid w:val="00EA25EB"/>
    <w:rsid w:val="00EA276E"/>
    <w:rsid w:val="00EA2922"/>
    <w:rsid w:val="00EA29CD"/>
    <w:rsid w:val="00EA2F2F"/>
    <w:rsid w:val="00EA31C0"/>
    <w:rsid w:val="00EA5684"/>
    <w:rsid w:val="00EA7261"/>
    <w:rsid w:val="00EA7CE8"/>
    <w:rsid w:val="00EB049C"/>
    <w:rsid w:val="00EB0EF9"/>
    <w:rsid w:val="00EB1155"/>
    <w:rsid w:val="00EB1B1A"/>
    <w:rsid w:val="00EB3E79"/>
    <w:rsid w:val="00EB4D29"/>
    <w:rsid w:val="00EB5FC8"/>
    <w:rsid w:val="00EB609C"/>
    <w:rsid w:val="00EB6711"/>
    <w:rsid w:val="00EB69E4"/>
    <w:rsid w:val="00EB6DBF"/>
    <w:rsid w:val="00EB6E1B"/>
    <w:rsid w:val="00EB7F52"/>
    <w:rsid w:val="00EC1032"/>
    <w:rsid w:val="00EC14D8"/>
    <w:rsid w:val="00EC17F7"/>
    <w:rsid w:val="00EC1F96"/>
    <w:rsid w:val="00EC23E1"/>
    <w:rsid w:val="00EC2DD6"/>
    <w:rsid w:val="00EC2F19"/>
    <w:rsid w:val="00EC34DC"/>
    <w:rsid w:val="00EC5B7B"/>
    <w:rsid w:val="00ED09B5"/>
    <w:rsid w:val="00ED25DF"/>
    <w:rsid w:val="00ED2A5C"/>
    <w:rsid w:val="00ED3DA9"/>
    <w:rsid w:val="00ED507E"/>
    <w:rsid w:val="00ED541C"/>
    <w:rsid w:val="00ED6150"/>
    <w:rsid w:val="00EE059D"/>
    <w:rsid w:val="00EE0915"/>
    <w:rsid w:val="00EE0978"/>
    <w:rsid w:val="00EE20BA"/>
    <w:rsid w:val="00EE25A0"/>
    <w:rsid w:val="00EE2E33"/>
    <w:rsid w:val="00EE2E98"/>
    <w:rsid w:val="00EE32A5"/>
    <w:rsid w:val="00EE3F5C"/>
    <w:rsid w:val="00EE4A60"/>
    <w:rsid w:val="00EE4A7F"/>
    <w:rsid w:val="00EE5F05"/>
    <w:rsid w:val="00EE66EF"/>
    <w:rsid w:val="00EE7776"/>
    <w:rsid w:val="00EE7E3F"/>
    <w:rsid w:val="00EE7E59"/>
    <w:rsid w:val="00EF064C"/>
    <w:rsid w:val="00EF09CE"/>
    <w:rsid w:val="00EF0E56"/>
    <w:rsid w:val="00EF1648"/>
    <w:rsid w:val="00EF2568"/>
    <w:rsid w:val="00EF2F0E"/>
    <w:rsid w:val="00EF3938"/>
    <w:rsid w:val="00EF3C47"/>
    <w:rsid w:val="00EF4292"/>
    <w:rsid w:val="00EF44E0"/>
    <w:rsid w:val="00EF4EC1"/>
    <w:rsid w:val="00EF5895"/>
    <w:rsid w:val="00EF61ED"/>
    <w:rsid w:val="00F01050"/>
    <w:rsid w:val="00F0111F"/>
    <w:rsid w:val="00F01580"/>
    <w:rsid w:val="00F01E30"/>
    <w:rsid w:val="00F0238A"/>
    <w:rsid w:val="00F025C6"/>
    <w:rsid w:val="00F02793"/>
    <w:rsid w:val="00F02D11"/>
    <w:rsid w:val="00F032FE"/>
    <w:rsid w:val="00F04217"/>
    <w:rsid w:val="00F05D0E"/>
    <w:rsid w:val="00F05EE1"/>
    <w:rsid w:val="00F05F96"/>
    <w:rsid w:val="00F0664B"/>
    <w:rsid w:val="00F10D64"/>
    <w:rsid w:val="00F11210"/>
    <w:rsid w:val="00F1323C"/>
    <w:rsid w:val="00F13500"/>
    <w:rsid w:val="00F1351D"/>
    <w:rsid w:val="00F14407"/>
    <w:rsid w:val="00F14AF3"/>
    <w:rsid w:val="00F1518C"/>
    <w:rsid w:val="00F15B75"/>
    <w:rsid w:val="00F15BE1"/>
    <w:rsid w:val="00F16A39"/>
    <w:rsid w:val="00F17297"/>
    <w:rsid w:val="00F207CA"/>
    <w:rsid w:val="00F22357"/>
    <w:rsid w:val="00F2281F"/>
    <w:rsid w:val="00F22E81"/>
    <w:rsid w:val="00F237F1"/>
    <w:rsid w:val="00F23DAC"/>
    <w:rsid w:val="00F24087"/>
    <w:rsid w:val="00F24300"/>
    <w:rsid w:val="00F248DB"/>
    <w:rsid w:val="00F249B2"/>
    <w:rsid w:val="00F26F7E"/>
    <w:rsid w:val="00F2781E"/>
    <w:rsid w:val="00F30C13"/>
    <w:rsid w:val="00F30E07"/>
    <w:rsid w:val="00F31E60"/>
    <w:rsid w:val="00F339E2"/>
    <w:rsid w:val="00F33B4A"/>
    <w:rsid w:val="00F33CB2"/>
    <w:rsid w:val="00F33E8F"/>
    <w:rsid w:val="00F34061"/>
    <w:rsid w:val="00F34260"/>
    <w:rsid w:val="00F34696"/>
    <w:rsid w:val="00F34F5A"/>
    <w:rsid w:val="00F35319"/>
    <w:rsid w:val="00F35ED6"/>
    <w:rsid w:val="00F377F1"/>
    <w:rsid w:val="00F37C5D"/>
    <w:rsid w:val="00F37F07"/>
    <w:rsid w:val="00F4021E"/>
    <w:rsid w:val="00F40C48"/>
    <w:rsid w:val="00F40C9F"/>
    <w:rsid w:val="00F421A2"/>
    <w:rsid w:val="00F4232C"/>
    <w:rsid w:val="00F430E8"/>
    <w:rsid w:val="00F438A0"/>
    <w:rsid w:val="00F44EA7"/>
    <w:rsid w:val="00F44FB6"/>
    <w:rsid w:val="00F4571F"/>
    <w:rsid w:val="00F45A7B"/>
    <w:rsid w:val="00F46833"/>
    <w:rsid w:val="00F46A62"/>
    <w:rsid w:val="00F4797D"/>
    <w:rsid w:val="00F500E1"/>
    <w:rsid w:val="00F50DEB"/>
    <w:rsid w:val="00F50F52"/>
    <w:rsid w:val="00F51145"/>
    <w:rsid w:val="00F513B9"/>
    <w:rsid w:val="00F514F0"/>
    <w:rsid w:val="00F52A6F"/>
    <w:rsid w:val="00F53004"/>
    <w:rsid w:val="00F53094"/>
    <w:rsid w:val="00F530C5"/>
    <w:rsid w:val="00F536E1"/>
    <w:rsid w:val="00F53867"/>
    <w:rsid w:val="00F53C75"/>
    <w:rsid w:val="00F54303"/>
    <w:rsid w:val="00F5430F"/>
    <w:rsid w:val="00F54E79"/>
    <w:rsid w:val="00F54FAB"/>
    <w:rsid w:val="00F568A6"/>
    <w:rsid w:val="00F56AFC"/>
    <w:rsid w:val="00F572EB"/>
    <w:rsid w:val="00F60464"/>
    <w:rsid w:val="00F60A0D"/>
    <w:rsid w:val="00F60B5D"/>
    <w:rsid w:val="00F60D22"/>
    <w:rsid w:val="00F613D7"/>
    <w:rsid w:val="00F61498"/>
    <w:rsid w:val="00F615D2"/>
    <w:rsid w:val="00F625F0"/>
    <w:rsid w:val="00F62F7F"/>
    <w:rsid w:val="00F632BC"/>
    <w:rsid w:val="00F636FB"/>
    <w:rsid w:val="00F63D71"/>
    <w:rsid w:val="00F643F9"/>
    <w:rsid w:val="00F64D67"/>
    <w:rsid w:val="00F6558E"/>
    <w:rsid w:val="00F65DD5"/>
    <w:rsid w:val="00F6619C"/>
    <w:rsid w:val="00F661BA"/>
    <w:rsid w:val="00F67452"/>
    <w:rsid w:val="00F67AD1"/>
    <w:rsid w:val="00F67B8C"/>
    <w:rsid w:val="00F67D0B"/>
    <w:rsid w:val="00F7009A"/>
    <w:rsid w:val="00F70CA8"/>
    <w:rsid w:val="00F70D0B"/>
    <w:rsid w:val="00F71361"/>
    <w:rsid w:val="00F736A2"/>
    <w:rsid w:val="00F73F9E"/>
    <w:rsid w:val="00F75AF5"/>
    <w:rsid w:val="00F76297"/>
    <w:rsid w:val="00F769E8"/>
    <w:rsid w:val="00F7766A"/>
    <w:rsid w:val="00F800CE"/>
    <w:rsid w:val="00F80D84"/>
    <w:rsid w:val="00F81214"/>
    <w:rsid w:val="00F81428"/>
    <w:rsid w:val="00F81D44"/>
    <w:rsid w:val="00F82212"/>
    <w:rsid w:val="00F82C72"/>
    <w:rsid w:val="00F83213"/>
    <w:rsid w:val="00F84196"/>
    <w:rsid w:val="00F844AF"/>
    <w:rsid w:val="00F84CB4"/>
    <w:rsid w:val="00F85609"/>
    <w:rsid w:val="00F85621"/>
    <w:rsid w:val="00F85D74"/>
    <w:rsid w:val="00F8661C"/>
    <w:rsid w:val="00F86AF2"/>
    <w:rsid w:val="00F86CD7"/>
    <w:rsid w:val="00F87668"/>
    <w:rsid w:val="00F87911"/>
    <w:rsid w:val="00F9059A"/>
    <w:rsid w:val="00F9194A"/>
    <w:rsid w:val="00F91EB5"/>
    <w:rsid w:val="00F920A5"/>
    <w:rsid w:val="00F92140"/>
    <w:rsid w:val="00F9292D"/>
    <w:rsid w:val="00F9361E"/>
    <w:rsid w:val="00F9363C"/>
    <w:rsid w:val="00F93A75"/>
    <w:rsid w:val="00F93C8B"/>
    <w:rsid w:val="00F94325"/>
    <w:rsid w:val="00F949B8"/>
    <w:rsid w:val="00F9544C"/>
    <w:rsid w:val="00F95BCD"/>
    <w:rsid w:val="00F95EDB"/>
    <w:rsid w:val="00F9608F"/>
    <w:rsid w:val="00F96D87"/>
    <w:rsid w:val="00F97590"/>
    <w:rsid w:val="00F9771F"/>
    <w:rsid w:val="00F97829"/>
    <w:rsid w:val="00F97957"/>
    <w:rsid w:val="00F979E3"/>
    <w:rsid w:val="00F97A57"/>
    <w:rsid w:val="00F97F36"/>
    <w:rsid w:val="00FA158A"/>
    <w:rsid w:val="00FA1B76"/>
    <w:rsid w:val="00FA20E5"/>
    <w:rsid w:val="00FA2875"/>
    <w:rsid w:val="00FA3092"/>
    <w:rsid w:val="00FA3324"/>
    <w:rsid w:val="00FA43BF"/>
    <w:rsid w:val="00FA4F5C"/>
    <w:rsid w:val="00FA533E"/>
    <w:rsid w:val="00FA54FE"/>
    <w:rsid w:val="00FA58FC"/>
    <w:rsid w:val="00FA612D"/>
    <w:rsid w:val="00FA7541"/>
    <w:rsid w:val="00FA7F0A"/>
    <w:rsid w:val="00FB0415"/>
    <w:rsid w:val="00FB07E3"/>
    <w:rsid w:val="00FB0FE8"/>
    <w:rsid w:val="00FB1343"/>
    <w:rsid w:val="00FB13A9"/>
    <w:rsid w:val="00FB18F7"/>
    <w:rsid w:val="00FB1FEF"/>
    <w:rsid w:val="00FB2501"/>
    <w:rsid w:val="00FB276F"/>
    <w:rsid w:val="00FB2FF0"/>
    <w:rsid w:val="00FB3642"/>
    <w:rsid w:val="00FB4199"/>
    <w:rsid w:val="00FB43BB"/>
    <w:rsid w:val="00FB4A9C"/>
    <w:rsid w:val="00FB5676"/>
    <w:rsid w:val="00FB58B5"/>
    <w:rsid w:val="00FB5A57"/>
    <w:rsid w:val="00FB64E6"/>
    <w:rsid w:val="00FB6AA9"/>
    <w:rsid w:val="00FB714D"/>
    <w:rsid w:val="00FB7353"/>
    <w:rsid w:val="00FB776D"/>
    <w:rsid w:val="00FB7D1F"/>
    <w:rsid w:val="00FC0E39"/>
    <w:rsid w:val="00FC0EDA"/>
    <w:rsid w:val="00FC16AB"/>
    <w:rsid w:val="00FC22D4"/>
    <w:rsid w:val="00FC45E3"/>
    <w:rsid w:val="00FC5395"/>
    <w:rsid w:val="00FC584D"/>
    <w:rsid w:val="00FC5F79"/>
    <w:rsid w:val="00FC6A67"/>
    <w:rsid w:val="00FC717C"/>
    <w:rsid w:val="00FC7C08"/>
    <w:rsid w:val="00FD026F"/>
    <w:rsid w:val="00FD10F3"/>
    <w:rsid w:val="00FD2E11"/>
    <w:rsid w:val="00FD398D"/>
    <w:rsid w:val="00FD4C00"/>
    <w:rsid w:val="00FD57CA"/>
    <w:rsid w:val="00FD5C47"/>
    <w:rsid w:val="00FD604F"/>
    <w:rsid w:val="00FD6101"/>
    <w:rsid w:val="00FD7DF2"/>
    <w:rsid w:val="00FE043C"/>
    <w:rsid w:val="00FE0A23"/>
    <w:rsid w:val="00FE0CD7"/>
    <w:rsid w:val="00FE0CED"/>
    <w:rsid w:val="00FE0DEF"/>
    <w:rsid w:val="00FE1C6C"/>
    <w:rsid w:val="00FE1E7B"/>
    <w:rsid w:val="00FE265E"/>
    <w:rsid w:val="00FE2CA8"/>
    <w:rsid w:val="00FE3727"/>
    <w:rsid w:val="00FE3C0D"/>
    <w:rsid w:val="00FE3C72"/>
    <w:rsid w:val="00FE484D"/>
    <w:rsid w:val="00FE51E4"/>
    <w:rsid w:val="00FE52CF"/>
    <w:rsid w:val="00FE57C5"/>
    <w:rsid w:val="00FE5869"/>
    <w:rsid w:val="00FF027F"/>
    <w:rsid w:val="00FF03EC"/>
    <w:rsid w:val="00FF0459"/>
    <w:rsid w:val="00FF0746"/>
    <w:rsid w:val="00FF155F"/>
    <w:rsid w:val="00FF3D2D"/>
    <w:rsid w:val="00FF41A0"/>
    <w:rsid w:val="00FF46DF"/>
    <w:rsid w:val="00FF5361"/>
    <w:rsid w:val="00FF5599"/>
    <w:rsid w:val="00FF5D20"/>
    <w:rsid w:val="00FF69F9"/>
    <w:rsid w:val="00FF6A43"/>
    <w:rsid w:val="00FF79FD"/>
    <w:rsid w:val="00FF7AAF"/>
    <w:rsid w:val="02B0B530"/>
    <w:rsid w:val="041EF097"/>
    <w:rsid w:val="05B6C4E9"/>
    <w:rsid w:val="08637CA9"/>
    <w:rsid w:val="0CA49F8A"/>
    <w:rsid w:val="0EC44CAE"/>
    <w:rsid w:val="122091F4"/>
    <w:rsid w:val="13B60866"/>
    <w:rsid w:val="17D4EC09"/>
    <w:rsid w:val="1C12B5E6"/>
    <w:rsid w:val="1E54A3F6"/>
    <w:rsid w:val="1FC5E328"/>
    <w:rsid w:val="1FC6D591"/>
    <w:rsid w:val="24579D52"/>
    <w:rsid w:val="24ED5B02"/>
    <w:rsid w:val="25DF9998"/>
    <w:rsid w:val="26A7B095"/>
    <w:rsid w:val="2881E26A"/>
    <w:rsid w:val="2A6E1694"/>
    <w:rsid w:val="2B526CFF"/>
    <w:rsid w:val="2B59E102"/>
    <w:rsid w:val="2BFF1C2B"/>
    <w:rsid w:val="2E39A558"/>
    <w:rsid w:val="2E8A0DC1"/>
    <w:rsid w:val="2F1CC0AA"/>
    <w:rsid w:val="34281BCA"/>
    <w:rsid w:val="3752D7D3"/>
    <w:rsid w:val="3819CAC3"/>
    <w:rsid w:val="3E02C63A"/>
    <w:rsid w:val="3F656365"/>
    <w:rsid w:val="3F8A0C51"/>
    <w:rsid w:val="3F918F21"/>
    <w:rsid w:val="42CBF6E0"/>
    <w:rsid w:val="431204E2"/>
    <w:rsid w:val="45414520"/>
    <w:rsid w:val="4814F596"/>
    <w:rsid w:val="4C891D69"/>
    <w:rsid w:val="4CA1E0B1"/>
    <w:rsid w:val="4DF759D8"/>
    <w:rsid w:val="51F1F226"/>
    <w:rsid w:val="564B424D"/>
    <w:rsid w:val="56C56349"/>
    <w:rsid w:val="590B780B"/>
    <w:rsid w:val="59FD040B"/>
    <w:rsid w:val="5A899CE8"/>
    <w:rsid w:val="5D2BA6EF"/>
    <w:rsid w:val="5D58950B"/>
    <w:rsid w:val="64D0602E"/>
    <w:rsid w:val="65CF0F9C"/>
    <w:rsid w:val="66051A62"/>
    <w:rsid w:val="696B1A67"/>
    <w:rsid w:val="6B3CDF2B"/>
    <w:rsid w:val="6CFDE894"/>
    <w:rsid w:val="70F9F10F"/>
    <w:rsid w:val="7461C5B2"/>
    <w:rsid w:val="7536CC09"/>
    <w:rsid w:val="76DCF689"/>
    <w:rsid w:val="7DC7ABA8"/>
    <w:rsid w:val="7E7B38FE"/>
    <w:rsid w:val="7F680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5911B"/>
  <w15:docId w15:val="{CBDBBD34-44AB-4D1D-B823-1E9FFAEB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D6B2F"/>
    <w:rPr>
      <w:rFonts w:ascii="Verdana" w:hAnsi="Verdana"/>
      <w:szCs w:val="24"/>
    </w:rPr>
  </w:style>
  <w:style w:type="paragraph" w:styleId="Heading1">
    <w:name w:val="heading 1"/>
    <w:basedOn w:val="Normal"/>
    <w:next w:val="BodyText"/>
    <w:autoRedefine/>
    <w:qFormat/>
    <w:rsid w:val="00E766A4"/>
    <w:pPr>
      <w:keepNext/>
      <w:pageBreakBefore/>
      <w:numPr>
        <w:numId w:val="6"/>
      </w:numPr>
      <w:spacing w:before="240" w:after="240"/>
      <w:outlineLvl w:val="0"/>
    </w:pPr>
    <w:rPr>
      <w:rFonts w:cs="Tahoma"/>
      <w:b/>
      <w:bCs/>
      <w:caps/>
      <w:kern w:val="32"/>
      <w:sz w:val="24"/>
      <w:szCs w:val="28"/>
    </w:rPr>
  </w:style>
  <w:style w:type="paragraph" w:styleId="Heading2">
    <w:name w:val="heading 2"/>
    <w:basedOn w:val="Normal"/>
    <w:next w:val="BodyText"/>
    <w:qFormat/>
    <w:rsid w:val="00B43E50"/>
    <w:pPr>
      <w:keepNext/>
      <w:numPr>
        <w:ilvl w:val="1"/>
        <w:numId w:val="6"/>
      </w:numPr>
      <w:spacing w:before="240" w:after="240"/>
      <w:outlineLvl w:val="1"/>
    </w:pPr>
    <w:rPr>
      <w:rFonts w:cs="Arial"/>
      <w:b/>
      <w:bCs/>
      <w:iCs/>
      <w:szCs w:val="22"/>
    </w:rPr>
  </w:style>
  <w:style w:type="paragraph" w:styleId="Heading3">
    <w:name w:val="heading 3"/>
    <w:basedOn w:val="Normal"/>
    <w:next w:val="BodyText"/>
    <w:qFormat/>
    <w:rsid w:val="00B43E50"/>
    <w:pPr>
      <w:keepNext/>
      <w:numPr>
        <w:ilvl w:val="2"/>
        <w:numId w:val="6"/>
      </w:numPr>
      <w:spacing w:before="240" w:after="240"/>
      <w:outlineLvl w:val="2"/>
    </w:pPr>
    <w:rPr>
      <w:rFonts w:cs="Arial"/>
      <w:b/>
      <w:bCs/>
      <w:szCs w:val="26"/>
    </w:rPr>
  </w:style>
  <w:style w:type="paragraph" w:styleId="Heading4">
    <w:name w:val="heading 4"/>
    <w:basedOn w:val="BodyText"/>
    <w:next w:val="BodyText"/>
    <w:qFormat/>
    <w:rsid w:val="00B43E50"/>
    <w:pPr>
      <w:keepNext/>
      <w:spacing w:before="240" w:after="240"/>
      <w:jc w:val="left"/>
      <w:outlineLvl w:val="3"/>
    </w:pPr>
    <w:rPr>
      <w:b/>
      <w:bCs/>
      <w:szCs w:val="28"/>
    </w:rPr>
  </w:style>
  <w:style w:type="paragraph" w:styleId="Heading5">
    <w:name w:val="heading 5"/>
    <w:basedOn w:val="Normal"/>
    <w:next w:val="BodyText"/>
    <w:qFormat/>
    <w:rsid w:val="00B43E50"/>
    <w:pPr>
      <w:numPr>
        <w:ilvl w:val="4"/>
        <w:numId w:val="6"/>
      </w:numPr>
      <w:spacing w:before="240" w:after="60"/>
      <w:outlineLvl w:val="4"/>
    </w:pPr>
    <w:rPr>
      <w:bCs/>
      <w:iCs/>
      <w:szCs w:val="26"/>
    </w:rPr>
  </w:style>
  <w:style w:type="paragraph" w:styleId="Heading6">
    <w:name w:val="heading 6"/>
    <w:basedOn w:val="Normal"/>
    <w:next w:val="BodyText"/>
    <w:rsid w:val="00B43E50"/>
    <w:pPr>
      <w:numPr>
        <w:ilvl w:val="5"/>
        <w:numId w:val="6"/>
      </w:numPr>
      <w:spacing w:before="240" w:after="60"/>
      <w:outlineLvl w:val="5"/>
    </w:pPr>
    <w:rPr>
      <w:bCs/>
      <w:szCs w:val="22"/>
    </w:rPr>
  </w:style>
  <w:style w:type="paragraph" w:styleId="Heading7">
    <w:name w:val="heading 7"/>
    <w:basedOn w:val="Normal"/>
    <w:next w:val="BodyText"/>
    <w:rsid w:val="00B43E50"/>
    <w:pPr>
      <w:pageBreakBefore/>
      <w:numPr>
        <w:ilvl w:val="6"/>
        <w:numId w:val="6"/>
      </w:numPr>
      <w:spacing w:before="240" w:after="240"/>
      <w:outlineLvl w:val="6"/>
    </w:pPr>
    <w:rPr>
      <w:b/>
      <w:caps/>
      <w:sz w:val="24"/>
    </w:rPr>
  </w:style>
  <w:style w:type="paragraph" w:styleId="Heading8">
    <w:name w:val="heading 8"/>
    <w:basedOn w:val="Normal"/>
    <w:next w:val="BodyText"/>
    <w:rsid w:val="00B43E50"/>
    <w:pPr>
      <w:numPr>
        <w:ilvl w:val="7"/>
        <w:numId w:val="6"/>
      </w:numPr>
      <w:tabs>
        <w:tab w:val="left" w:pos="851"/>
      </w:tabs>
      <w:spacing w:before="240" w:after="240"/>
      <w:outlineLvl w:val="7"/>
    </w:pPr>
    <w:rPr>
      <w:b/>
      <w:iCs/>
    </w:rPr>
  </w:style>
  <w:style w:type="paragraph" w:styleId="Heading9">
    <w:name w:val="heading 9"/>
    <w:basedOn w:val="Normal"/>
    <w:next w:val="BodyText"/>
    <w:rsid w:val="00B43E50"/>
    <w:pPr>
      <w:numPr>
        <w:ilvl w:val="8"/>
        <w:numId w:val="6"/>
      </w:numPr>
      <w:tabs>
        <w:tab w:val="left" w:pos="851"/>
      </w:tabs>
      <w:spacing w:before="240" w:after="24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505F39"/>
    <w:pPr>
      <w:numPr>
        <w:numId w:val="7"/>
      </w:numPr>
      <w:spacing w:before="120" w:after="120"/>
      <w:jc w:val="both"/>
    </w:pPr>
  </w:style>
  <w:style w:type="paragraph" w:styleId="ListNumber">
    <w:name w:val="List Number"/>
    <w:basedOn w:val="Normal"/>
    <w:qFormat/>
    <w:rsid w:val="00B43E50"/>
    <w:pPr>
      <w:numPr>
        <w:numId w:val="8"/>
      </w:numPr>
      <w:spacing w:before="120" w:after="120"/>
      <w:jc w:val="both"/>
    </w:pPr>
  </w:style>
  <w:style w:type="paragraph" w:styleId="ListBullet2">
    <w:name w:val="List Bullet 2"/>
    <w:basedOn w:val="Normal"/>
    <w:rsid w:val="007077E6"/>
    <w:pPr>
      <w:numPr>
        <w:ilvl w:val="1"/>
        <w:numId w:val="7"/>
      </w:numPr>
      <w:spacing w:before="120" w:after="120"/>
      <w:jc w:val="both"/>
    </w:pPr>
  </w:style>
  <w:style w:type="paragraph" w:styleId="ListBullet3">
    <w:name w:val="List Bullet 3"/>
    <w:basedOn w:val="Normal"/>
    <w:semiHidden/>
    <w:rsid w:val="00B43E50"/>
    <w:pPr>
      <w:numPr>
        <w:ilvl w:val="2"/>
        <w:numId w:val="7"/>
      </w:numPr>
      <w:spacing w:before="120" w:after="120"/>
    </w:pPr>
  </w:style>
  <w:style w:type="paragraph" w:styleId="ListBullet4">
    <w:name w:val="List Bullet 4"/>
    <w:basedOn w:val="Normal"/>
    <w:semiHidden/>
    <w:rsid w:val="00B43E50"/>
    <w:pPr>
      <w:numPr>
        <w:ilvl w:val="3"/>
        <w:numId w:val="7"/>
      </w:numPr>
    </w:pPr>
  </w:style>
  <w:style w:type="paragraph" w:styleId="BodyText">
    <w:name w:val="Body Text"/>
    <w:basedOn w:val="Normal"/>
    <w:link w:val="BodyTextChar"/>
    <w:qFormat/>
    <w:rsid w:val="007077E6"/>
    <w:pPr>
      <w:keepLines/>
      <w:spacing w:before="120" w:after="120"/>
      <w:jc w:val="both"/>
    </w:pPr>
  </w:style>
  <w:style w:type="paragraph" w:styleId="Header">
    <w:name w:val="header"/>
    <w:basedOn w:val="Normal"/>
    <w:link w:val="HeaderChar"/>
    <w:semiHidden/>
    <w:rsid w:val="00B43E50"/>
    <w:pPr>
      <w:tabs>
        <w:tab w:val="center" w:pos="4536"/>
        <w:tab w:val="right" w:pos="9072"/>
      </w:tabs>
      <w:jc w:val="right"/>
    </w:pPr>
    <w:rPr>
      <w:sz w:val="16"/>
    </w:rPr>
  </w:style>
  <w:style w:type="paragraph" w:styleId="Footer">
    <w:name w:val="footer"/>
    <w:basedOn w:val="Header"/>
    <w:link w:val="FooterChar"/>
    <w:semiHidden/>
    <w:rsid w:val="00B43E50"/>
    <w:pPr>
      <w:jc w:val="both"/>
    </w:pPr>
  </w:style>
  <w:style w:type="table" w:customStyle="1" w:styleId="INPEXtable">
    <w:name w:val="INPEX table"/>
    <w:basedOn w:val="TableNormal"/>
    <w:rsid w:val="00B43E50"/>
    <w:pPr>
      <w:spacing w:before="120" w:after="120"/>
    </w:pPr>
    <w:rPr>
      <w:rFonts w:ascii="Arial" w:hAnsi="Arial"/>
    </w:rPr>
    <w:tblPr>
      <w:tblStyleRowBandSize w:val="1"/>
      <w:tblStyleColBandSize w:val="1"/>
      <w:tblBorders>
        <w:top w:val="single" w:sz="4" w:space="0" w:color="C0C0C0"/>
        <w:left w:val="single" w:sz="4" w:space="0" w:color="auto"/>
        <w:bottom w:val="single" w:sz="4" w:space="0" w:color="auto"/>
        <w:right w:val="single" w:sz="4" w:space="0" w:color="auto"/>
        <w:insideH w:val="single" w:sz="4" w:space="0" w:color="C0C0C0"/>
        <w:insideV w:val="single" w:sz="4" w:space="0" w:color="C0C0C0"/>
      </w:tblBorders>
      <w:tblCellMar>
        <w:left w:w="115" w:type="dxa"/>
        <w:right w:w="115" w:type="dxa"/>
      </w:tblCellMar>
    </w:tblPr>
    <w:tcPr>
      <w:tcMar>
        <w:top w:w="0" w:type="dxa"/>
        <w:bottom w:w="0" w:type="dxa"/>
      </w:tcMar>
    </w:tcPr>
    <w:tblStylePr w:type="firstRow">
      <w:pPr>
        <w:wordWrap/>
        <w:spacing w:beforeLines="0" w:afterLines="0"/>
        <w:contextualSpacing w:val="0"/>
      </w:pPr>
      <w:rPr>
        <w:rFonts w:ascii="Arial" w:hAnsi="Arial"/>
        <w:b/>
        <w:sz w:val="20"/>
      </w:rPr>
      <w:tblPr/>
      <w:trPr>
        <w:tblHeader/>
      </w:trPr>
      <w:tcPr>
        <w:tcBorders>
          <w:top w:val="single" w:sz="4" w:space="0" w:color="auto"/>
          <w:left w:val="single" w:sz="4" w:space="0" w:color="auto"/>
          <w:bottom w:val="single" w:sz="4" w:space="0" w:color="auto"/>
          <w:right w:val="single" w:sz="4" w:space="0" w:color="auto"/>
          <w:insideH w:val="single" w:sz="4" w:space="0" w:color="C0C0C0"/>
          <w:insideV w:val="single" w:sz="4" w:space="0" w:color="C0C0C0"/>
          <w:tl2br w:val="nil"/>
          <w:tr2bl w:val="nil"/>
        </w:tcBorders>
        <w:shd w:val="clear" w:color="auto" w:fill="E0E0E0"/>
      </w:tcPr>
    </w:tblStylePr>
    <w:tblStylePr w:type="lastRow">
      <w:pPr>
        <w:jc w:val="left"/>
      </w:pPr>
      <w:rPr>
        <w:b w:val="0"/>
        <w:sz w:val="20"/>
      </w:rPr>
      <w:tblPr/>
      <w:tcPr>
        <w:tcBorders>
          <w:top w:val="single" w:sz="4" w:space="0" w:color="C0C0C0"/>
          <w:left w:val="single" w:sz="4" w:space="0" w:color="auto"/>
          <w:bottom w:val="single" w:sz="4" w:space="0" w:color="auto"/>
          <w:right w:val="single" w:sz="4" w:space="0" w:color="auto"/>
          <w:insideH w:val="nil"/>
          <w:insideV w:val="single" w:sz="4" w:space="0" w:color="C0C0C0"/>
          <w:tl2br w:val="nil"/>
          <w:tr2bl w:val="nil"/>
        </w:tcBorders>
      </w:tcPr>
    </w:tblStylePr>
    <w:tblStylePr w:type="firstCol">
      <w:pPr>
        <w:jc w:val="left"/>
      </w:pPr>
      <w:rPr>
        <w:sz w:val="20"/>
      </w:rPr>
      <w:tblPr/>
      <w:tcPr>
        <w:tcMar>
          <w:top w:w="85" w:type="dxa"/>
          <w:left w:w="85" w:type="dxa"/>
          <w:bottom w:w="85" w:type="dxa"/>
          <w:right w:w="85" w:type="dxa"/>
        </w:tcMar>
      </w:tc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tblStylePr w:type="neCell">
      <w:rPr>
        <w:sz w:val="20"/>
      </w:rPr>
    </w:tblStylePr>
    <w:tblStylePr w:type="nwCell">
      <w:rPr>
        <w:sz w:val="20"/>
      </w:rPr>
    </w:tblStylePr>
    <w:tblStylePr w:type="seCell">
      <w:rPr>
        <w:sz w:val="20"/>
      </w:rPr>
    </w:tblStylePr>
    <w:tblStylePr w:type="swCell">
      <w:rPr>
        <w:sz w:val="20"/>
      </w:rPr>
    </w:tblStylePr>
  </w:style>
  <w:style w:type="paragraph" w:customStyle="1" w:styleId="Heading">
    <w:name w:val="Heading"/>
    <w:basedOn w:val="Normal"/>
    <w:semiHidden/>
    <w:rsid w:val="00CA523E"/>
    <w:pPr>
      <w:keepNext/>
      <w:spacing w:before="360" w:after="60"/>
    </w:pPr>
    <w:rPr>
      <w:b/>
      <w:caps/>
    </w:rPr>
  </w:style>
  <w:style w:type="paragraph" w:styleId="Caption">
    <w:name w:val="caption"/>
    <w:basedOn w:val="Normal"/>
    <w:next w:val="BodyText"/>
    <w:autoRedefine/>
    <w:rsid w:val="00835138"/>
    <w:pPr>
      <w:tabs>
        <w:tab w:val="left" w:pos="1134"/>
      </w:tabs>
      <w:spacing w:before="200" w:after="60"/>
      <w:ind w:left="1134" w:hanging="1134"/>
    </w:pPr>
    <w:rPr>
      <w:b/>
      <w:bCs/>
      <w:sz w:val="18"/>
      <w:szCs w:val="20"/>
    </w:rPr>
  </w:style>
  <w:style w:type="paragraph" w:customStyle="1" w:styleId="DistributionBold">
    <w:name w:val="DistributionBold"/>
    <w:basedOn w:val="Normal"/>
    <w:semiHidden/>
    <w:rsid w:val="006870B0"/>
    <w:pPr>
      <w:spacing w:before="120" w:after="120"/>
      <w:jc w:val="center"/>
    </w:pPr>
    <w:rPr>
      <w:b/>
      <w:szCs w:val="18"/>
      <w:lang w:eastAsia="en-US"/>
    </w:rPr>
  </w:style>
  <w:style w:type="paragraph" w:styleId="TOC1">
    <w:name w:val="toc 1"/>
    <w:basedOn w:val="Normal"/>
    <w:next w:val="Normal"/>
    <w:autoRedefine/>
    <w:uiPriority w:val="39"/>
    <w:rsid w:val="007809CA"/>
    <w:pPr>
      <w:tabs>
        <w:tab w:val="left" w:pos="850"/>
        <w:tab w:val="right" w:leader="dot" w:pos="9072"/>
      </w:tabs>
      <w:spacing w:before="100" w:after="40" w:line="288" w:lineRule="auto"/>
      <w:ind w:left="1134" w:hanging="1134"/>
    </w:pPr>
    <w:rPr>
      <w:b/>
      <w:caps/>
      <w:noProof/>
      <w:szCs w:val="20"/>
    </w:rPr>
  </w:style>
  <w:style w:type="character" w:styleId="Hyperlink">
    <w:name w:val="Hyperlink"/>
    <w:uiPriority w:val="99"/>
    <w:rsid w:val="0073488C"/>
    <w:rPr>
      <w:rFonts w:ascii="Verdana" w:hAnsi="Verdana"/>
      <w:i w:val="0"/>
      <w:color w:val="0000FF"/>
      <w:u w:val="single"/>
    </w:rPr>
  </w:style>
  <w:style w:type="paragraph" w:customStyle="1" w:styleId="DistributionText">
    <w:name w:val="DistributionText"/>
    <w:basedOn w:val="Normal"/>
    <w:semiHidden/>
    <w:rsid w:val="006870B0"/>
    <w:pPr>
      <w:spacing w:before="120" w:after="120"/>
    </w:pPr>
    <w:rPr>
      <w:szCs w:val="18"/>
      <w:lang w:eastAsia="en-US"/>
    </w:rPr>
  </w:style>
  <w:style w:type="paragraph" w:customStyle="1" w:styleId="DistributionTextBold">
    <w:name w:val="Distribution Text Bold"/>
    <w:semiHidden/>
    <w:rsid w:val="006870B0"/>
    <w:pPr>
      <w:spacing w:before="120" w:after="120"/>
    </w:pPr>
    <w:rPr>
      <w:rFonts w:ascii="Arial Bold" w:hAnsi="Arial Bold"/>
      <w:b/>
      <w:bCs/>
      <w:caps/>
      <w:sz w:val="22"/>
      <w:lang w:eastAsia="en-US"/>
    </w:rPr>
  </w:style>
  <w:style w:type="paragraph" w:styleId="ListBullet5">
    <w:name w:val="List Bullet 5"/>
    <w:basedOn w:val="Normal"/>
    <w:semiHidden/>
    <w:rsid w:val="00B43E50"/>
    <w:pPr>
      <w:numPr>
        <w:ilvl w:val="4"/>
        <w:numId w:val="7"/>
      </w:numPr>
    </w:pPr>
  </w:style>
  <w:style w:type="paragraph" w:customStyle="1" w:styleId="INPEXdocumenttitle">
    <w:name w:val="INPEX document title"/>
    <w:basedOn w:val="Normal"/>
    <w:semiHidden/>
    <w:rsid w:val="00993717"/>
    <w:pPr>
      <w:jc w:val="right"/>
    </w:pPr>
    <w:rPr>
      <w:b/>
      <w:sz w:val="44"/>
      <w:szCs w:val="48"/>
    </w:rPr>
  </w:style>
  <w:style w:type="paragraph" w:customStyle="1" w:styleId="INPEXdocumenttype">
    <w:name w:val="INPEX document type"/>
    <w:basedOn w:val="INPEXdocumenttitle"/>
    <w:semiHidden/>
    <w:rsid w:val="000510A0"/>
    <w:rPr>
      <w:b w:val="0"/>
      <w:sz w:val="36"/>
      <w:szCs w:val="36"/>
    </w:rPr>
  </w:style>
  <w:style w:type="character" w:styleId="PageNumber">
    <w:name w:val="page number"/>
    <w:basedOn w:val="DefaultParagraphFont"/>
    <w:semiHidden/>
    <w:rsid w:val="00B43E50"/>
  </w:style>
  <w:style w:type="paragraph" w:styleId="EndnoteText">
    <w:name w:val="endnote text"/>
    <w:basedOn w:val="Normal"/>
    <w:link w:val="EndnoteTextChar"/>
    <w:semiHidden/>
    <w:rsid w:val="00B43E50"/>
    <w:rPr>
      <w:szCs w:val="20"/>
    </w:rPr>
  </w:style>
  <w:style w:type="character" w:styleId="EndnoteReference">
    <w:name w:val="endnote reference"/>
    <w:semiHidden/>
    <w:rsid w:val="00B43E50"/>
    <w:rPr>
      <w:vertAlign w:val="superscript"/>
    </w:rPr>
  </w:style>
  <w:style w:type="table" w:styleId="TableGrid">
    <w:name w:val="Table Grid"/>
    <w:basedOn w:val="TableNormal"/>
    <w:semiHidden/>
    <w:rsid w:val="00B43E5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7809CA"/>
    <w:pPr>
      <w:tabs>
        <w:tab w:val="left" w:pos="1134"/>
        <w:tab w:val="right" w:leader="dot" w:pos="9072"/>
      </w:tabs>
      <w:spacing w:line="288" w:lineRule="auto"/>
      <w:ind w:left="1134" w:hanging="1134"/>
    </w:pPr>
  </w:style>
  <w:style w:type="paragraph" w:customStyle="1" w:styleId="TableFootnote-Sources">
    <w:name w:val="Table Footnote - Sources"/>
    <w:basedOn w:val="Tablefootnote"/>
    <w:rsid w:val="00B43E50"/>
    <w:pPr>
      <w:tabs>
        <w:tab w:val="left" w:pos="706"/>
      </w:tabs>
    </w:pPr>
  </w:style>
  <w:style w:type="character" w:customStyle="1" w:styleId="BodyTextChar">
    <w:name w:val="Body Text Char"/>
    <w:basedOn w:val="DefaultParagraphFont"/>
    <w:link w:val="BodyText"/>
    <w:rsid w:val="007077E6"/>
    <w:rPr>
      <w:rFonts w:ascii="Verdana" w:hAnsi="Verdana"/>
      <w:szCs w:val="24"/>
    </w:rPr>
  </w:style>
  <w:style w:type="numbering" w:customStyle="1" w:styleId="Tablebullets">
    <w:name w:val="Table bullets"/>
    <w:rsid w:val="00B43E50"/>
    <w:pPr>
      <w:numPr>
        <w:numId w:val="1"/>
      </w:numPr>
    </w:pPr>
  </w:style>
  <w:style w:type="paragraph" w:styleId="ListNumber2">
    <w:name w:val="List Number 2"/>
    <w:basedOn w:val="Normal"/>
    <w:rsid w:val="00B43E50"/>
    <w:pPr>
      <w:numPr>
        <w:ilvl w:val="1"/>
        <w:numId w:val="9"/>
      </w:numPr>
      <w:spacing w:before="120" w:after="120"/>
      <w:jc w:val="both"/>
    </w:pPr>
  </w:style>
  <w:style w:type="paragraph" w:styleId="ListNumber3">
    <w:name w:val="List Number 3"/>
    <w:basedOn w:val="Normal"/>
    <w:semiHidden/>
    <w:rsid w:val="00B43E50"/>
    <w:pPr>
      <w:numPr>
        <w:ilvl w:val="2"/>
        <w:numId w:val="9"/>
      </w:numPr>
      <w:spacing w:before="120" w:after="120"/>
    </w:pPr>
  </w:style>
  <w:style w:type="paragraph" w:styleId="ListNumber4">
    <w:name w:val="List Number 4"/>
    <w:basedOn w:val="Normal"/>
    <w:semiHidden/>
    <w:rsid w:val="00B43E50"/>
    <w:pPr>
      <w:numPr>
        <w:ilvl w:val="3"/>
        <w:numId w:val="9"/>
      </w:numPr>
    </w:pPr>
  </w:style>
  <w:style w:type="paragraph" w:styleId="ListNumber5">
    <w:name w:val="List Number 5"/>
    <w:basedOn w:val="Normal"/>
    <w:semiHidden/>
    <w:rsid w:val="00B43E50"/>
    <w:pPr>
      <w:numPr>
        <w:ilvl w:val="4"/>
        <w:numId w:val="9"/>
      </w:numPr>
    </w:pPr>
  </w:style>
  <w:style w:type="numbering" w:customStyle="1" w:styleId="Tablenumbers">
    <w:name w:val="Table numbers"/>
    <w:basedOn w:val="NoList"/>
    <w:rsid w:val="00B43E50"/>
    <w:pPr>
      <w:numPr>
        <w:numId w:val="2"/>
      </w:numPr>
    </w:pPr>
  </w:style>
  <w:style w:type="numbering" w:styleId="111111">
    <w:name w:val="Outline List 2"/>
    <w:basedOn w:val="NoList"/>
    <w:rsid w:val="00B43E50"/>
    <w:pPr>
      <w:numPr>
        <w:numId w:val="3"/>
      </w:numPr>
    </w:pPr>
  </w:style>
  <w:style w:type="numbering" w:styleId="1ai">
    <w:name w:val="Outline List 1"/>
    <w:basedOn w:val="NoList"/>
    <w:rsid w:val="00B43E50"/>
    <w:pPr>
      <w:numPr>
        <w:numId w:val="4"/>
      </w:numPr>
    </w:pPr>
  </w:style>
  <w:style w:type="numbering" w:styleId="ArticleSection">
    <w:name w:val="Outline List 3"/>
    <w:basedOn w:val="NoList"/>
    <w:semiHidden/>
    <w:rsid w:val="00B43E50"/>
    <w:pPr>
      <w:numPr>
        <w:numId w:val="5"/>
      </w:numPr>
    </w:pPr>
  </w:style>
  <w:style w:type="paragraph" w:styleId="BodyText2">
    <w:name w:val="Body Text 2"/>
    <w:basedOn w:val="Normal"/>
    <w:semiHidden/>
    <w:rsid w:val="00B43E50"/>
    <w:pPr>
      <w:spacing w:after="120" w:line="480" w:lineRule="auto"/>
    </w:pPr>
  </w:style>
  <w:style w:type="paragraph" w:styleId="BodyText3">
    <w:name w:val="Body Text 3"/>
    <w:basedOn w:val="Normal"/>
    <w:semiHidden/>
    <w:rsid w:val="00B43E50"/>
    <w:pPr>
      <w:spacing w:after="120"/>
    </w:pPr>
    <w:rPr>
      <w:sz w:val="16"/>
      <w:szCs w:val="16"/>
    </w:rPr>
  </w:style>
  <w:style w:type="paragraph" w:styleId="BodyTextFirstIndent">
    <w:name w:val="Body Text First Indent"/>
    <w:basedOn w:val="BodyText"/>
    <w:link w:val="BodyTextFirstIndentChar"/>
    <w:semiHidden/>
    <w:rsid w:val="00B43E50"/>
    <w:pPr>
      <w:ind w:firstLine="210"/>
    </w:pPr>
  </w:style>
  <w:style w:type="paragraph" w:styleId="BodyTextIndent">
    <w:name w:val="Body Text Indent"/>
    <w:basedOn w:val="Normal"/>
    <w:autoRedefine/>
    <w:rsid w:val="00B43E50"/>
    <w:pPr>
      <w:keepLines/>
      <w:spacing w:before="120" w:after="120"/>
      <w:ind w:left="562"/>
      <w:jc w:val="both"/>
    </w:pPr>
    <w:rPr>
      <w:sz w:val="16"/>
    </w:rPr>
  </w:style>
  <w:style w:type="paragraph" w:styleId="BodyTextFirstIndent2">
    <w:name w:val="Body Text First Indent 2"/>
    <w:basedOn w:val="BodyTextIndent"/>
    <w:semiHidden/>
    <w:rsid w:val="00B43E50"/>
    <w:pPr>
      <w:ind w:firstLine="210"/>
    </w:pPr>
  </w:style>
  <w:style w:type="paragraph" w:styleId="BodyTextIndent2">
    <w:name w:val="Body Text Indent 2"/>
    <w:basedOn w:val="Normal"/>
    <w:semiHidden/>
    <w:rsid w:val="00B43E50"/>
    <w:pPr>
      <w:spacing w:after="120" w:line="480" w:lineRule="auto"/>
      <w:ind w:left="283"/>
    </w:pPr>
  </w:style>
  <w:style w:type="paragraph" w:styleId="BodyTextIndent3">
    <w:name w:val="Body Text Indent 3"/>
    <w:basedOn w:val="Normal"/>
    <w:semiHidden/>
    <w:rsid w:val="00B43E50"/>
    <w:pPr>
      <w:spacing w:after="120"/>
      <w:ind w:left="283"/>
    </w:pPr>
    <w:rPr>
      <w:sz w:val="16"/>
      <w:szCs w:val="16"/>
    </w:rPr>
  </w:style>
  <w:style w:type="table" w:styleId="Table3Deffects1">
    <w:name w:val="Table 3D effects 1"/>
    <w:basedOn w:val="TableNormal"/>
    <w:semiHidden/>
    <w:rsid w:val="00B43E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43E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43E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43E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43E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43E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43E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43E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43E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43E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43E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43E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43E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43E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43E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43E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43E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B43E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43E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43E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43E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43E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43E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43E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43E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43E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43E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43E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43E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43E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43E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43E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43E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43E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43E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43E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43E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43E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43E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4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43E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43E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43E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losing">
    <w:name w:val="Closing"/>
    <w:basedOn w:val="Normal"/>
    <w:link w:val="ClosingChar"/>
    <w:semiHidden/>
    <w:rsid w:val="00B43E50"/>
    <w:pPr>
      <w:ind w:left="4252"/>
    </w:pPr>
  </w:style>
  <w:style w:type="paragraph" w:styleId="Date">
    <w:name w:val="Date"/>
    <w:basedOn w:val="Normal"/>
    <w:next w:val="Normal"/>
    <w:link w:val="DateChar"/>
    <w:semiHidden/>
    <w:rsid w:val="00B43E50"/>
  </w:style>
  <w:style w:type="paragraph" w:styleId="E-mailSignature">
    <w:name w:val="E-mail Signature"/>
    <w:basedOn w:val="Normal"/>
    <w:semiHidden/>
    <w:rsid w:val="00B43E50"/>
  </w:style>
  <w:style w:type="paragraph" w:styleId="EnvelopeAddress">
    <w:name w:val="envelope address"/>
    <w:basedOn w:val="Normal"/>
    <w:semiHidden/>
    <w:rsid w:val="00B43E50"/>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B43E50"/>
    <w:rPr>
      <w:rFonts w:cs="Arial"/>
      <w:szCs w:val="20"/>
    </w:rPr>
  </w:style>
  <w:style w:type="character" w:styleId="HTMLAcronym">
    <w:name w:val="HTML Acronym"/>
    <w:basedOn w:val="DefaultParagraphFont"/>
    <w:semiHidden/>
    <w:rsid w:val="00B43E50"/>
  </w:style>
  <w:style w:type="paragraph" w:styleId="HTMLAddress">
    <w:name w:val="HTML Address"/>
    <w:basedOn w:val="Normal"/>
    <w:semiHidden/>
    <w:rsid w:val="00B43E50"/>
    <w:rPr>
      <w:i/>
      <w:iCs/>
    </w:rPr>
  </w:style>
  <w:style w:type="character" w:styleId="HTMLCite">
    <w:name w:val="HTML Cite"/>
    <w:semiHidden/>
    <w:rsid w:val="00B43E50"/>
    <w:rPr>
      <w:i/>
      <w:iCs/>
    </w:rPr>
  </w:style>
  <w:style w:type="character" w:styleId="HTMLCode">
    <w:name w:val="HTML Code"/>
    <w:semiHidden/>
    <w:rsid w:val="00B43E50"/>
    <w:rPr>
      <w:rFonts w:ascii="Courier New" w:hAnsi="Courier New" w:cs="Courier New"/>
      <w:sz w:val="20"/>
      <w:szCs w:val="20"/>
    </w:rPr>
  </w:style>
  <w:style w:type="character" w:styleId="HTMLDefinition">
    <w:name w:val="HTML Definition"/>
    <w:semiHidden/>
    <w:rsid w:val="00B43E50"/>
    <w:rPr>
      <w:i/>
      <w:iCs/>
    </w:rPr>
  </w:style>
  <w:style w:type="character" w:styleId="HTMLKeyboard">
    <w:name w:val="HTML Keyboard"/>
    <w:semiHidden/>
    <w:rsid w:val="00B43E50"/>
    <w:rPr>
      <w:rFonts w:ascii="Courier New" w:hAnsi="Courier New" w:cs="Courier New"/>
      <w:sz w:val="20"/>
      <w:szCs w:val="20"/>
    </w:rPr>
  </w:style>
  <w:style w:type="paragraph" w:styleId="HTMLPreformatted">
    <w:name w:val="HTML Preformatted"/>
    <w:basedOn w:val="Normal"/>
    <w:link w:val="HTMLPreformattedChar"/>
    <w:uiPriority w:val="99"/>
    <w:semiHidden/>
    <w:rsid w:val="00B43E50"/>
    <w:rPr>
      <w:rFonts w:ascii="Courier New" w:hAnsi="Courier New" w:cs="Courier New"/>
      <w:szCs w:val="20"/>
    </w:rPr>
  </w:style>
  <w:style w:type="character" w:styleId="HTMLSample">
    <w:name w:val="HTML Sample"/>
    <w:semiHidden/>
    <w:rsid w:val="00B43E50"/>
    <w:rPr>
      <w:rFonts w:ascii="Courier New" w:hAnsi="Courier New" w:cs="Courier New"/>
    </w:rPr>
  </w:style>
  <w:style w:type="character" w:styleId="HTMLTypewriter">
    <w:name w:val="HTML Typewriter"/>
    <w:semiHidden/>
    <w:rsid w:val="00B43E50"/>
    <w:rPr>
      <w:rFonts w:ascii="Courier New" w:hAnsi="Courier New" w:cs="Courier New"/>
      <w:sz w:val="20"/>
      <w:szCs w:val="20"/>
    </w:rPr>
  </w:style>
  <w:style w:type="character" w:styleId="HTMLVariable">
    <w:name w:val="HTML Variable"/>
    <w:semiHidden/>
    <w:rsid w:val="00B43E50"/>
    <w:rPr>
      <w:i/>
      <w:iCs/>
    </w:rPr>
  </w:style>
  <w:style w:type="character" w:styleId="LineNumber">
    <w:name w:val="line number"/>
    <w:basedOn w:val="DefaultParagraphFont"/>
    <w:semiHidden/>
    <w:rsid w:val="00B43E50"/>
  </w:style>
  <w:style w:type="paragraph" w:styleId="NormalWeb">
    <w:name w:val="Normal (Web)"/>
    <w:basedOn w:val="Normal"/>
    <w:uiPriority w:val="99"/>
    <w:semiHidden/>
    <w:rsid w:val="00B43E50"/>
    <w:rPr>
      <w:rFonts w:ascii="Times New Roman" w:hAnsi="Times New Roman"/>
      <w:sz w:val="24"/>
    </w:rPr>
  </w:style>
  <w:style w:type="paragraph" w:styleId="Salutation">
    <w:name w:val="Salutation"/>
    <w:basedOn w:val="Normal"/>
    <w:next w:val="Normal"/>
    <w:link w:val="SalutationChar"/>
    <w:semiHidden/>
    <w:rsid w:val="00B43E50"/>
  </w:style>
  <w:style w:type="paragraph" w:styleId="Signature">
    <w:name w:val="Signature"/>
    <w:basedOn w:val="Normal"/>
    <w:link w:val="SignatureChar"/>
    <w:semiHidden/>
    <w:rsid w:val="00B43E50"/>
    <w:pPr>
      <w:ind w:left="4252"/>
    </w:pPr>
  </w:style>
  <w:style w:type="paragraph" w:customStyle="1" w:styleId="Tableheading">
    <w:name w:val="Table heading"/>
    <w:basedOn w:val="BodyText"/>
    <w:rsid w:val="007C7EED"/>
    <w:pPr>
      <w:spacing w:before="60" w:after="60"/>
      <w:jc w:val="left"/>
    </w:pPr>
  </w:style>
  <w:style w:type="paragraph" w:styleId="Subtitle">
    <w:name w:val="Subtitle"/>
    <w:basedOn w:val="Normal"/>
    <w:link w:val="SubtitleChar"/>
    <w:rsid w:val="00B43E50"/>
    <w:pPr>
      <w:spacing w:after="60"/>
      <w:jc w:val="center"/>
      <w:outlineLvl w:val="1"/>
    </w:pPr>
    <w:rPr>
      <w:rFonts w:cs="Arial"/>
      <w:sz w:val="24"/>
    </w:rPr>
  </w:style>
  <w:style w:type="paragraph" w:customStyle="1" w:styleId="INPEXdocno">
    <w:name w:val="INPEX doc no"/>
    <w:basedOn w:val="INPEXdocumenttype"/>
    <w:semiHidden/>
    <w:rsid w:val="00C22D6A"/>
    <w:rPr>
      <w:sz w:val="28"/>
      <w:szCs w:val="28"/>
    </w:rPr>
  </w:style>
  <w:style w:type="paragraph" w:customStyle="1" w:styleId="Instruction">
    <w:name w:val="Instruction"/>
    <w:basedOn w:val="BodyText"/>
    <w:rsid w:val="00D01C2C"/>
    <w:rPr>
      <w:i/>
      <w:color w:val="FF0000"/>
    </w:rPr>
  </w:style>
  <w:style w:type="character" w:styleId="FootnoteReference">
    <w:name w:val="footnote reference"/>
    <w:semiHidden/>
    <w:rsid w:val="00B43E50"/>
    <w:rPr>
      <w:vertAlign w:val="superscript"/>
    </w:rPr>
  </w:style>
  <w:style w:type="paragraph" w:styleId="FootnoteText">
    <w:name w:val="footnote text"/>
    <w:basedOn w:val="Normal"/>
    <w:semiHidden/>
    <w:rsid w:val="00B43E50"/>
    <w:pPr>
      <w:spacing w:before="60" w:after="60"/>
    </w:pPr>
    <w:rPr>
      <w:sz w:val="16"/>
      <w:szCs w:val="20"/>
    </w:rPr>
  </w:style>
  <w:style w:type="paragraph" w:styleId="List">
    <w:name w:val="List"/>
    <w:basedOn w:val="Normal"/>
    <w:semiHidden/>
    <w:rsid w:val="00B43E50"/>
    <w:pPr>
      <w:ind w:left="283" w:hanging="283"/>
    </w:pPr>
  </w:style>
  <w:style w:type="paragraph" w:styleId="List2">
    <w:name w:val="List 2"/>
    <w:basedOn w:val="Normal"/>
    <w:semiHidden/>
    <w:rsid w:val="00B43E50"/>
    <w:pPr>
      <w:ind w:left="566" w:hanging="283"/>
    </w:pPr>
  </w:style>
  <w:style w:type="paragraph" w:styleId="List3">
    <w:name w:val="List 3"/>
    <w:basedOn w:val="Normal"/>
    <w:semiHidden/>
    <w:rsid w:val="00B43E50"/>
    <w:pPr>
      <w:ind w:left="849" w:hanging="283"/>
    </w:pPr>
  </w:style>
  <w:style w:type="paragraph" w:styleId="List4">
    <w:name w:val="List 4"/>
    <w:basedOn w:val="Normal"/>
    <w:semiHidden/>
    <w:rsid w:val="00B43E50"/>
    <w:pPr>
      <w:ind w:left="1132" w:hanging="283"/>
    </w:pPr>
  </w:style>
  <w:style w:type="paragraph" w:styleId="List5">
    <w:name w:val="List 5"/>
    <w:basedOn w:val="Normal"/>
    <w:semiHidden/>
    <w:rsid w:val="00B43E50"/>
    <w:pPr>
      <w:ind w:left="1415" w:hanging="283"/>
    </w:pPr>
  </w:style>
  <w:style w:type="paragraph" w:styleId="ListContinue">
    <w:name w:val="List Continue"/>
    <w:basedOn w:val="Normal"/>
    <w:semiHidden/>
    <w:rsid w:val="00B43E50"/>
    <w:pPr>
      <w:spacing w:after="120"/>
      <w:ind w:left="283"/>
    </w:pPr>
  </w:style>
  <w:style w:type="paragraph" w:styleId="ListContinue2">
    <w:name w:val="List Continue 2"/>
    <w:basedOn w:val="Normal"/>
    <w:semiHidden/>
    <w:rsid w:val="00B43E50"/>
    <w:pPr>
      <w:spacing w:after="120"/>
      <w:ind w:left="566"/>
    </w:pPr>
  </w:style>
  <w:style w:type="paragraph" w:styleId="ListContinue3">
    <w:name w:val="List Continue 3"/>
    <w:basedOn w:val="Normal"/>
    <w:semiHidden/>
    <w:rsid w:val="00B43E50"/>
    <w:pPr>
      <w:spacing w:after="120"/>
      <w:ind w:left="849"/>
    </w:pPr>
  </w:style>
  <w:style w:type="paragraph" w:styleId="ListContinue4">
    <w:name w:val="List Continue 4"/>
    <w:basedOn w:val="Normal"/>
    <w:semiHidden/>
    <w:rsid w:val="00B43E50"/>
    <w:pPr>
      <w:spacing w:after="120"/>
      <w:ind w:left="1132"/>
    </w:pPr>
  </w:style>
  <w:style w:type="paragraph" w:styleId="ListContinue5">
    <w:name w:val="List Continue 5"/>
    <w:basedOn w:val="Normal"/>
    <w:semiHidden/>
    <w:rsid w:val="00B43E50"/>
    <w:pPr>
      <w:spacing w:after="120"/>
      <w:ind w:left="1415"/>
    </w:pPr>
  </w:style>
  <w:style w:type="paragraph" w:styleId="TableofAuthorities">
    <w:name w:val="table of authorities"/>
    <w:basedOn w:val="Normal"/>
    <w:next w:val="Normal"/>
    <w:rsid w:val="00B43E50"/>
    <w:pPr>
      <w:ind w:left="200" w:hanging="200"/>
    </w:pPr>
  </w:style>
  <w:style w:type="paragraph" w:customStyle="1" w:styleId="Tabletext">
    <w:name w:val="Table text"/>
    <w:basedOn w:val="BodyText"/>
    <w:link w:val="TabletextChar"/>
    <w:rsid w:val="00B018B5"/>
    <w:pPr>
      <w:spacing w:before="60" w:after="60"/>
      <w:jc w:val="left"/>
    </w:pPr>
  </w:style>
  <w:style w:type="paragraph" w:customStyle="1" w:styleId="Tabletextright">
    <w:name w:val="Table text right"/>
    <w:basedOn w:val="Tabletext"/>
    <w:rsid w:val="00B43E50"/>
    <w:pPr>
      <w:jc w:val="right"/>
    </w:pPr>
  </w:style>
  <w:style w:type="paragraph" w:customStyle="1" w:styleId="Tabletextcentre">
    <w:name w:val="Table text centre"/>
    <w:basedOn w:val="Tabletext"/>
    <w:link w:val="TabletextcentreChar"/>
    <w:rsid w:val="00B43E50"/>
    <w:pPr>
      <w:jc w:val="center"/>
    </w:pPr>
  </w:style>
  <w:style w:type="paragraph" w:customStyle="1" w:styleId="Tablefootnote">
    <w:name w:val="Table footnote"/>
    <w:basedOn w:val="BodyText"/>
    <w:next w:val="BodyText"/>
    <w:rsid w:val="00B43E50"/>
    <w:pPr>
      <w:spacing w:before="60" w:after="60"/>
    </w:pPr>
    <w:rPr>
      <w:sz w:val="16"/>
      <w:szCs w:val="16"/>
    </w:rPr>
  </w:style>
  <w:style w:type="paragraph" w:customStyle="1" w:styleId="Projectlogo">
    <w:name w:val="Project logo"/>
    <w:basedOn w:val="Normal"/>
    <w:semiHidden/>
    <w:rsid w:val="00547760"/>
    <w:pPr>
      <w:spacing w:before="480"/>
      <w:ind w:right="28"/>
      <w:jc w:val="right"/>
    </w:pPr>
  </w:style>
  <w:style w:type="paragraph" w:customStyle="1" w:styleId="INPEXlogo">
    <w:name w:val="INPEX logo"/>
    <w:basedOn w:val="Normal"/>
    <w:semiHidden/>
    <w:rsid w:val="007A50D9"/>
    <w:pPr>
      <w:ind w:right="-109"/>
      <w:jc w:val="right"/>
    </w:pPr>
  </w:style>
  <w:style w:type="paragraph" w:customStyle="1" w:styleId="TableFootnote-NA">
    <w:name w:val="Table Footnote - N.A."/>
    <w:basedOn w:val="Tablefootnote"/>
    <w:rsid w:val="00B43E50"/>
    <w:pPr>
      <w:tabs>
        <w:tab w:val="left" w:pos="425"/>
      </w:tabs>
    </w:pPr>
  </w:style>
  <w:style w:type="paragraph" w:customStyle="1" w:styleId="TableFootnote-">
    <w:name w:val="Table Footnote - *"/>
    <w:basedOn w:val="Tablefootnote"/>
    <w:rsid w:val="00B43E50"/>
    <w:pPr>
      <w:tabs>
        <w:tab w:val="left" w:pos="284"/>
      </w:tabs>
    </w:pPr>
  </w:style>
  <w:style w:type="paragraph" w:customStyle="1" w:styleId="BodyText-BeforeTable">
    <w:name w:val="Body Text - Before Table"/>
    <w:basedOn w:val="BodyText"/>
    <w:autoRedefine/>
    <w:rsid w:val="00B43E50"/>
    <w:pPr>
      <w:spacing w:after="240"/>
    </w:pPr>
  </w:style>
  <w:style w:type="paragraph" w:customStyle="1" w:styleId="BodyText-AfterTable">
    <w:name w:val="Body Text - After Table"/>
    <w:basedOn w:val="BodyText"/>
    <w:autoRedefine/>
    <w:rsid w:val="00B43E50"/>
    <w:pPr>
      <w:spacing w:before="240"/>
    </w:pPr>
  </w:style>
  <w:style w:type="paragraph" w:customStyle="1" w:styleId="Agendaheading">
    <w:name w:val="Agenda heading"/>
    <w:basedOn w:val="Normal"/>
    <w:semiHidden/>
    <w:rsid w:val="00B43E50"/>
    <w:pPr>
      <w:keepNext/>
      <w:spacing w:before="240" w:after="60"/>
    </w:pPr>
    <w:rPr>
      <w:b/>
      <w:szCs w:val="22"/>
    </w:rPr>
  </w:style>
  <w:style w:type="paragraph" w:customStyle="1" w:styleId="ListLetter">
    <w:name w:val="List Letter"/>
    <w:basedOn w:val="ListNumber"/>
    <w:rsid w:val="0073488C"/>
    <w:pPr>
      <w:numPr>
        <w:numId w:val="9"/>
      </w:numPr>
    </w:pPr>
  </w:style>
  <w:style w:type="paragraph" w:customStyle="1" w:styleId="Tableheading10">
    <w:name w:val="Table heading 10"/>
    <w:basedOn w:val="Tableheading"/>
    <w:rsid w:val="007077E6"/>
    <w:rPr>
      <w:b/>
    </w:rPr>
  </w:style>
  <w:style w:type="paragraph" w:customStyle="1" w:styleId="Tableheading9">
    <w:name w:val="Table heading 9"/>
    <w:basedOn w:val="Tableheading"/>
    <w:rsid w:val="00B43E50"/>
  </w:style>
  <w:style w:type="paragraph" w:customStyle="1" w:styleId="Tabletext10">
    <w:name w:val="Table text 10"/>
    <w:basedOn w:val="Tabletext"/>
    <w:rsid w:val="000E553F"/>
  </w:style>
  <w:style w:type="paragraph" w:customStyle="1" w:styleId="Tabletext9">
    <w:name w:val="Table text 9"/>
    <w:basedOn w:val="Tabletext"/>
    <w:rsid w:val="00291C43"/>
  </w:style>
  <w:style w:type="paragraph" w:customStyle="1" w:styleId="Tabletextcentre10">
    <w:name w:val="Table text centre 10"/>
    <w:basedOn w:val="Tabletextcentre"/>
    <w:rsid w:val="00E51D9B"/>
  </w:style>
  <w:style w:type="paragraph" w:customStyle="1" w:styleId="Tabletextcentre9">
    <w:name w:val="Table text centre 9"/>
    <w:basedOn w:val="Tabletextcentre"/>
    <w:rsid w:val="00B43E50"/>
  </w:style>
  <w:style w:type="paragraph" w:customStyle="1" w:styleId="Tabletextright10">
    <w:name w:val="Table text right 10"/>
    <w:basedOn w:val="Tabletextright"/>
    <w:rsid w:val="00E51D9B"/>
  </w:style>
  <w:style w:type="paragraph" w:customStyle="1" w:styleId="Tabletextright9">
    <w:name w:val="Table text right 9"/>
    <w:basedOn w:val="Tabletextright"/>
    <w:rsid w:val="00B43E50"/>
  </w:style>
  <w:style w:type="character" w:customStyle="1" w:styleId="TabletextChar">
    <w:name w:val="Table text Char"/>
    <w:basedOn w:val="BodyTextChar"/>
    <w:link w:val="Tabletext"/>
    <w:rsid w:val="00B018B5"/>
    <w:rPr>
      <w:rFonts w:ascii="Verdana" w:hAnsi="Verdana"/>
      <w:i/>
      <w:szCs w:val="24"/>
    </w:rPr>
  </w:style>
  <w:style w:type="character" w:customStyle="1" w:styleId="TabletextcentreChar">
    <w:name w:val="Table text centre Char"/>
    <w:basedOn w:val="TabletextChar"/>
    <w:link w:val="Tabletextcentre"/>
    <w:rsid w:val="00E247A9"/>
    <w:rPr>
      <w:rFonts w:ascii="Verdana" w:hAnsi="Verdana"/>
      <w:i/>
      <w:sz w:val="18"/>
      <w:szCs w:val="24"/>
    </w:rPr>
  </w:style>
  <w:style w:type="paragraph" w:styleId="DocumentMap">
    <w:name w:val="Document Map"/>
    <w:basedOn w:val="Normal"/>
    <w:link w:val="DocumentMapChar"/>
    <w:semiHidden/>
    <w:rsid w:val="00B43E50"/>
    <w:pPr>
      <w:shd w:val="clear" w:color="auto" w:fill="000080"/>
    </w:pPr>
    <w:rPr>
      <w:rFonts w:ascii="Tahoma" w:hAnsi="Tahoma" w:cs="Tahoma"/>
      <w:szCs w:val="20"/>
    </w:rPr>
  </w:style>
  <w:style w:type="paragraph" w:styleId="BalloonText">
    <w:name w:val="Balloon Text"/>
    <w:basedOn w:val="Normal"/>
    <w:link w:val="BalloonTextChar"/>
    <w:rsid w:val="00B43E50"/>
    <w:rPr>
      <w:rFonts w:cs="Tahoma"/>
      <w:sz w:val="16"/>
      <w:szCs w:val="16"/>
    </w:rPr>
  </w:style>
  <w:style w:type="character" w:customStyle="1" w:styleId="BalloonTextChar">
    <w:name w:val="Balloon Text Char"/>
    <w:basedOn w:val="DefaultParagraphFont"/>
    <w:link w:val="BalloonText"/>
    <w:rsid w:val="00B43E50"/>
    <w:rPr>
      <w:rFonts w:ascii="Verdana" w:hAnsi="Verdana" w:cs="Tahoma"/>
      <w:i/>
      <w:sz w:val="16"/>
      <w:szCs w:val="16"/>
    </w:rPr>
  </w:style>
  <w:style w:type="paragraph" w:styleId="Revision">
    <w:name w:val="Revision"/>
    <w:hidden/>
    <w:uiPriority w:val="99"/>
    <w:semiHidden/>
    <w:rsid w:val="00993D19"/>
    <w:rPr>
      <w:rFonts w:ascii="Arial" w:hAnsi="Arial"/>
      <w:sz w:val="22"/>
      <w:szCs w:val="24"/>
    </w:rPr>
  </w:style>
  <w:style w:type="paragraph" w:customStyle="1" w:styleId="Tableheading11">
    <w:name w:val="Table heading 11"/>
    <w:basedOn w:val="Tableheading"/>
    <w:rsid w:val="007C628E"/>
    <w:rPr>
      <w:sz w:val="22"/>
    </w:rPr>
  </w:style>
  <w:style w:type="paragraph" w:customStyle="1" w:styleId="Tableheadings">
    <w:name w:val="Table headings"/>
    <w:basedOn w:val="Normal"/>
    <w:rsid w:val="00B43E50"/>
    <w:pPr>
      <w:spacing w:before="120" w:after="120"/>
    </w:pPr>
    <w:rPr>
      <w:b/>
    </w:rPr>
  </w:style>
  <w:style w:type="paragraph" w:customStyle="1" w:styleId="Tabletext11">
    <w:name w:val="Table text 11"/>
    <w:basedOn w:val="Tabletext"/>
    <w:rsid w:val="007C628E"/>
    <w:rPr>
      <w:sz w:val="22"/>
    </w:rPr>
  </w:style>
  <w:style w:type="paragraph" w:customStyle="1" w:styleId="Tabletextcentre11">
    <w:name w:val="Table text centre 11"/>
    <w:basedOn w:val="Tabletextcentre"/>
    <w:rsid w:val="007C628E"/>
    <w:rPr>
      <w:sz w:val="22"/>
    </w:rPr>
  </w:style>
  <w:style w:type="paragraph" w:customStyle="1" w:styleId="Tabletextright11">
    <w:name w:val="Table text right 11"/>
    <w:basedOn w:val="Tabletextright"/>
    <w:rsid w:val="007C628E"/>
    <w:rPr>
      <w:sz w:val="22"/>
    </w:rPr>
  </w:style>
  <w:style w:type="paragraph" w:customStyle="1" w:styleId="Tablelistbullet10">
    <w:name w:val="Table list bullet 10"/>
    <w:basedOn w:val="Normal"/>
    <w:rsid w:val="00B43E50"/>
    <w:pPr>
      <w:keepLines/>
      <w:numPr>
        <w:numId w:val="10"/>
      </w:numPr>
      <w:spacing w:before="60" w:after="60"/>
    </w:pPr>
  </w:style>
  <w:style w:type="paragraph" w:customStyle="1" w:styleId="Tablelistbullet11">
    <w:name w:val="Table list bullet 11"/>
    <w:basedOn w:val="Tabletext11"/>
    <w:rsid w:val="007C628E"/>
    <w:pPr>
      <w:numPr>
        <w:numId w:val="11"/>
      </w:numPr>
    </w:pPr>
  </w:style>
  <w:style w:type="paragraph" w:customStyle="1" w:styleId="Tablelistbullet9">
    <w:name w:val="Table list bullet 9"/>
    <w:basedOn w:val="Tabletext9"/>
    <w:rsid w:val="0073488C"/>
    <w:pPr>
      <w:numPr>
        <w:numId w:val="12"/>
      </w:numPr>
    </w:pPr>
  </w:style>
  <w:style w:type="paragraph" w:customStyle="1" w:styleId="Blank">
    <w:name w:val="Blank"/>
    <w:semiHidden/>
    <w:rsid w:val="00B43E50"/>
    <w:pPr>
      <w:tabs>
        <w:tab w:val="center" w:pos="4536"/>
        <w:tab w:val="right" w:pos="9072"/>
      </w:tabs>
      <w:ind w:left="-567" w:right="-567"/>
    </w:pPr>
    <w:rPr>
      <w:rFonts w:ascii="Arial" w:hAnsi="Arial"/>
      <w:sz w:val="16"/>
      <w:szCs w:val="24"/>
    </w:rPr>
  </w:style>
  <w:style w:type="paragraph" w:styleId="BlockText">
    <w:name w:val="Block Text"/>
    <w:basedOn w:val="Normal"/>
    <w:uiPriority w:val="99"/>
    <w:semiHidden/>
    <w:rsid w:val="00B43E50"/>
    <w:pPr>
      <w:spacing w:after="120"/>
      <w:ind w:left="1440" w:right="1440"/>
    </w:pPr>
  </w:style>
  <w:style w:type="character" w:customStyle="1" w:styleId="BodyTextFirstIndentChar">
    <w:name w:val="Body Text First Indent Char"/>
    <w:basedOn w:val="BodyTextChar"/>
    <w:link w:val="BodyTextFirstIndent"/>
    <w:semiHidden/>
    <w:rsid w:val="00B43E50"/>
    <w:rPr>
      <w:rFonts w:ascii="Verdana" w:hAnsi="Verdana"/>
      <w:i w:val="0"/>
      <w:szCs w:val="24"/>
    </w:rPr>
  </w:style>
  <w:style w:type="character" w:customStyle="1" w:styleId="ClosingChar">
    <w:name w:val="Closing Char"/>
    <w:basedOn w:val="DefaultParagraphFont"/>
    <w:link w:val="Closing"/>
    <w:semiHidden/>
    <w:rsid w:val="00B43E50"/>
    <w:rPr>
      <w:rFonts w:ascii="Verdana" w:hAnsi="Verdana"/>
      <w:i/>
      <w:szCs w:val="24"/>
    </w:rPr>
  </w:style>
  <w:style w:type="character" w:styleId="CommentReference">
    <w:name w:val="annotation reference"/>
    <w:uiPriority w:val="99"/>
    <w:semiHidden/>
    <w:rsid w:val="00B43E50"/>
    <w:rPr>
      <w:sz w:val="16"/>
      <w:szCs w:val="16"/>
    </w:rPr>
  </w:style>
  <w:style w:type="paragraph" w:styleId="CommentText">
    <w:name w:val="annotation text"/>
    <w:basedOn w:val="Normal"/>
    <w:link w:val="CommentTextChar"/>
    <w:uiPriority w:val="99"/>
    <w:semiHidden/>
    <w:rsid w:val="00B43E50"/>
    <w:rPr>
      <w:szCs w:val="20"/>
    </w:rPr>
  </w:style>
  <w:style w:type="character" w:customStyle="1" w:styleId="CommentTextChar">
    <w:name w:val="Comment Text Char"/>
    <w:basedOn w:val="DefaultParagraphFont"/>
    <w:link w:val="CommentText"/>
    <w:uiPriority w:val="99"/>
    <w:semiHidden/>
    <w:rsid w:val="00B43E50"/>
    <w:rPr>
      <w:rFonts w:ascii="Verdana" w:hAnsi="Verdana"/>
      <w:i/>
    </w:rPr>
  </w:style>
  <w:style w:type="paragraph" w:styleId="CommentSubject">
    <w:name w:val="annotation subject"/>
    <w:basedOn w:val="CommentText"/>
    <w:next w:val="CommentText"/>
    <w:link w:val="CommentSubjectChar"/>
    <w:uiPriority w:val="99"/>
    <w:semiHidden/>
    <w:rsid w:val="00B43E50"/>
    <w:rPr>
      <w:b/>
      <w:bCs/>
    </w:rPr>
  </w:style>
  <w:style w:type="character" w:customStyle="1" w:styleId="CommentSubjectChar">
    <w:name w:val="Comment Subject Char"/>
    <w:basedOn w:val="CommentTextChar"/>
    <w:link w:val="CommentSubject"/>
    <w:uiPriority w:val="99"/>
    <w:semiHidden/>
    <w:rsid w:val="00B43E50"/>
    <w:rPr>
      <w:rFonts w:ascii="Verdana" w:hAnsi="Verdana"/>
      <w:b/>
      <w:bCs/>
      <w:i/>
    </w:rPr>
  </w:style>
  <w:style w:type="character" w:customStyle="1" w:styleId="CompanyABN">
    <w:name w:val="Company ABN"/>
    <w:semiHidden/>
    <w:rsid w:val="00B43E50"/>
    <w:rPr>
      <w:color w:val="999999"/>
      <w:sz w:val="16"/>
    </w:rPr>
  </w:style>
  <w:style w:type="paragraph" w:customStyle="1" w:styleId="Companyaddress">
    <w:name w:val="Company address"/>
    <w:basedOn w:val="Normal"/>
    <w:link w:val="CompanyaddressChar"/>
    <w:semiHidden/>
    <w:rsid w:val="00B43E50"/>
    <w:pPr>
      <w:ind w:left="-567" w:right="-567"/>
    </w:pPr>
    <w:rPr>
      <w:sz w:val="16"/>
      <w:szCs w:val="16"/>
    </w:rPr>
  </w:style>
  <w:style w:type="character" w:customStyle="1" w:styleId="CompanyaddressChar">
    <w:name w:val="Company address Char"/>
    <w:link w:val="Companyaddress"/>
    <w:semiHidden/>
    <w:rsid w:val="00B43E50"/>
    <w:rPr>
      <w:rFonts w:ascii="Verdana" w:hAnsi="Verdana"/>
      <w:i/>
      <w:sz w:val="16"/>
      <w:szCs w:val="16"/>
    </w:rPr>
  </w:style>
  <w:style w:type="character" w:customStyle="1" w:styleId="Companyname">
    <w:name w:val="Company name"/>
    <w:semiHidden/>
    <w:rsid w:val="00B43E50"/>
    <w:rPr>
      <w:b/>
      <w:sz w:val="20"/>
    </w:rPr>
  </w:style>
  <w:style w:type="character" w:customStyle="1" w:styleId="DateChar">
    <w:name w:val="Date Char"/>
    <w:basedOn w:val="DefaultParagraphFont"/>
    <w:link w:val="Date"/>
    <w:semiHidden/>
    <w:rsid w:val="00B43E50"/>
    <w:rPr>
      <w:rFonts w:ascii="Verdana" w:hAnsi="Verdana"/>
      <w:i/>
      <w:szCs w:val="24"/>
    </w:rPr>
  </w:style>
  <w:style w:type="paragraph" w:customStyle="1" w:styleId="Disclaimer">
    <w:name w:val="Disclaimer"/>
    <w:basedOn w:val="Normal"/>
    <w:semiHidden/>
    <w:rsid w:val="00B43E50"/>
    <w:pPr>
      <w:ind w:left="567" w:right="559"/>
    </w:pPr>
    <w:rPr>
      <w:sz w:val="18"/>
    </w:rPr>
  </w:style>
  <w:style w:type="character" w:customStyle="1" w:styleId="DocumentMapChar">
    <w:name w:val="Document Map Char"/>
    <w:basedOn w:val="DefaultParagraphFont"/>
    <w:link w:val="DocumentMap"/>
    <w:semiHidden/>
    <w:rsid w:val="00B43E50"/>
    <w:rPr>
      <w:rFonts w:ascii="Tahoma" w:hAnsi="Tahoma" w:cs="Tahoma"/>
      <w:i/>
      <w:shd w:val="clear" w:color="auto" w:fill="000080"/>
    </w:rPr>
  </w:style>
  <w:style w:type="character" w:customStyle="1" w:styleId="EndnoteTextChar">
    <w:name w:val="Endnote Text Char"/>
    <w:basedOn w:val="DefaultParagraphFont"/>
    <w:link w:val="EndnoteText"/>
    <w:semiHidden/>
    <w:rsid w:val="00B43E50"/>
    <w:rPr>
      <w:rFonts w:ascii="Verdana" w:hAnsi="Verdana"/>
      <w:i/>
    </w:rPr>
  </w:style>
  <w:style w:type="character" w:styleId="FollowedHyperlink">
    <w:name w:val="FollowedHyperlink"/>
    <w:uiPriority w:val="99"/>
    <w:semiHidden/>
    <w:rsid w:val="00B43E50"/>
    <w:rPr>
      <w:color w:val="800080"/>
      <w:u w:val="single"/>
    </w:rPr>
  </w:style>
  <w:style w:type="character" w:customStyle="1" w:styleId="HeaderChar">
    <w:name w:val="Header Char"/>
    <w:link w:val="Header"/>
    <w:semiHidden/>
    <w:locked/>
    <w:rsid w:val="00B43E50"/>
    <w:rPr>
      <w:rFonts w:ascii="Verdana" w:hAnsi="Verdana"/>
      <w:i/>
      <w:sz w:val="16"/>
      <w:szCs w:val="24"/>
    </w:rPr>
  </w:style>
  <w:style w:type="character" w:customStyle="1" w:styleId="FooterChar">
    <w:name w:val="Footer Char"/>
    <w:link w:val="Footer"/>
    <w:semiHidden/>
    <w:rsid w:val="00B43E50"/>
    <w:rPr>
      <w:rFonts w:ascii="Verdana" w:hAnsi="Verdana"/>
      <w:i/>
      <w:sz w:val="16"/>
      <w:szCs w:val="24"/>
    </w:rPr>
  </w:style>
  <w:style w:type="paragraph" w:customStyle="1" w:styleId="Inpexaddress">
    <w:name w:val="Inpex address"/>
    <w:basedOn w:val="Header"/>
    <w:semiHidden/>
    <w:rsid w:val="00B43E50"/>
    <w:rPr>
      <w:rFonts w:cs="Tahoma"/>
    </w:rPr>
  </w:style>
  <w:style w:type="paragraph" w:customStyle="1" w:styleId="Inpexheading">
    <w:name w:val="Inpex heading"/>
    <w:basedOn w:val="Normal"/>
    <w:semiHidden/>
    <w:rsid w:val="00B43E50"/>
    <w:rPr>
      <w:b/>
      <w:spacing w:val="20"/>
      <w:sz w:val="36"/>
      <w:szCs w:val="36"/>
    </w:rPr>
  </w:style>
  <w:style w:type="paragraph" w:customStyle="1" w:styleId="Logo">
    <w:name w:val="Logo"/>
    <w:basedOn w:val="Normal"/>
    <w:semiHidden/>
    <w:rsid w:val="00B43E50"/>
    <w:pPr>
      <w:jc w:val="right"/>
    </w:pPr>
  </w:style>
  <w:style w:type="character" w:customStyle="1" w:styleId="SalutationChar">
    <w:name w:val="Salutation Char"/>
    <w:basedOn w:val="DefaultParagraphFont"/>
    <w:link w:val="Salutation"/>
    <w:semiHidden/>
    <w:rsid w:val="00B43E50"/>
    <w:rPr>
      <w:rFonts w:ascii="Verdana" w:hAnsi="Verdana"/>
      <w:i/>
      <w:szCs w:val="24"/>
    </w:rPr>
  </w:style>
  <w:style w:type="character" w:customStyle="1" w:styleId="SignatureChar">
    <w:name w:val="Signature Char"/>
    <w:basedOn w:val="DefaultParagraphFont"/>
    <w:link w:val="Signature"/>
    <w:semiHidden/>
    <w:rsid w:val="00B43E50"/>
    <w:rPr>
      <w:rFonts w:ascii="Verdana" w:hAnsi="Verdana"/>
      <w:i/>
      <w:szCs w:val="24"/>
    </w:rPr>
  </w:style>
  <w:style w:type="paragraph" w:customStyle="1" w:styleId="SpacingAfter">
    <w:name w:val="Spacing After"/>
    <w:basedOn w:val="Normal"/>
    <w:semiHidden/>
    <w:rsid w:val="00EF61ED"/>
    <w:pPr>
      <w:spacing w:after="120"/>
      <w:ind w:left="6237"/>
    </w:pPr>
    <w:rPr>
      <w:sz w:val="18"/>
      <w:szCs w:val="18"/>
    </w:rPr>
  </w:style>
  <w:style w:type="character" w:customStyle="1" w:styleId="SubtitleChar">
    <w:name w:val="Subtitle Char"/>
    <w:basedOn w:val="DefaultParagraphFont"/>
    <w:link w:val="Subtitle"/>
    <w:rsid w:val="00B43E50"/>
    <w:rPr>
      <w:rFonts w:ascii="Verdana" w:hAnsi="Verdana" w:cs="Arial"/>
      <w:i/>
      <w:sz w:val="24"/>
      <w:szCs w:val="24"/>
    </w:rPr>
  </w:style>
  <w:style w:type="table" w:customStyle="1" w:styleId="TableGridLight1">
    <w:name w:val="Table Grid Light1"/>
    <w:basedOn w:val="TableNormal"/>
    <w:uiPriority w:val="40"/>
    <w:rsid w:val="00B43E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7809CA"/>
    <w:pPr>
      <w:tabs>
        <w:tab w:val="right" w:leader="dot" w:pos="9072"/>
      </w:tabs>
      <w:spacing w:after="100"/>
      <w:ind w:left="851" w:hanging="851"/>
    </w:pPr>
  </w:style>
  <w:style w:type="paragraph" w:styleId="TOC3">
    <w:name w:val="toc 3"/>
    <w:basedOn w:val="Normal"/>
    <w:next w:val="Normal"/>
    <w:autoRedefine/>
    <w:uiPriority w:val="39"/>
    <w:unhideWhenUsed/>
    <w:rsid w:val="007809CA"/>
    <w:pPr>
      <w:tabs>
        <w:tab w:val="right" w:leader="dot" w:pos="9072"/>
      </w:tabs>
      <w:spacing w:after="100"/>
      <w:ind w:left="851" w:hanging="851"/>
    </w:pPr>
  </w:style>
  <w:style w:type="paragraph" w:styleId="TOC7">
    <w:name w:val="toc 7"/>
    <w:basedOn w:val="Normal"/>
    <w:next w:val="Normal"/>
    <w:autoRedefine/>
    <w:uiPriority w:val="39"/>
    <w:unhideWhenUsed/>
    <w:rsid w:val="00B12515"/>
    <w:pPr>
      <w:tabs>
        <w:tab w:val="left" w:pos="1701"/>
        <w:tab w:val="right" w:leader="dot" w:pos="9072"/>
      </w:tabs>
      <w:spacing w:after="100"/>
      <w:ind w:left="1701" w:hanging="1701"/>
    </w:pPr>
    <w:rPr>
      <w:caps/>
    </w:rPr>
  </w:style>
  <w:style w:type="paragraph" w:styleId="TOC8">
    <w:name w:val="toc 8"/>
    <w:basedOn w:val="Normal"/>
    <w:next w:val="Normal"/>
    <w:autoRedefine/>
    <w:semiHidden/>
    <w:unhideWhenUsed/>
    <w:rsid w:val="001D50C9"/>
    <w:pPr>
      <w:tabs>
        <w:tab w:val="right" w:pos="9072"/>
      </w:tabs>
      <w:spacing w:after="100"/>
      <w:ind w:left="1400"/>
    </w:pPr>
  </w:style>
  <w:style w:type="paragraph" w:styleId="TOC9">
    <w:name w:val="toc 9"/>
    <w:basedOn w:val="Normal"/>
    <w:next w:val="Normal"/>
    <w:autoRedefine/>
    <w:semiHidden/>
    <w:unhideWhenUsed/>
    <w:rsid w:val="001D50C9"/>
    <w:pPr>
      <w:tabs>
        <w:tab w:val="right" w:pos="9072"/>
      </w:tabs>
      <w:spacing w:after="100"/>
      <w:ind w:left="1600"/>
    </w:pPr>
  </w:style>
  <w:style w:type="paragraph" w:customStyle="1" w:styleId="Appendix">
    <w:name w:val="Appendix"/>
    <w:basedOn w:val="Heading7"/>
    <w:next w:val="BodyText"/>
    <w:qFormat/>
    <w:rsid w:val="00B12515"/>
    <w:pPr>
      <w:numPr>
        <w:ilvl w:val="0"/>
        <w:numId w:val="17"/>
      </w:numPr>
      <w:tabs>
        <w:tab w:val="left" w:pos="357"/>
      </w:tabs>
      <w:ind w:left="1985" w:hanging="1985"/>
    </w:pPr>
    <w:rPr>
      <w:lang w:eastAsia="ja-JP"/>
    </w:rPr>
  </w:style>
  <w:style w:type="paragraph" w:customStyle="1" w:styleId="AppendixSubHeading1">
    <w:name w:val="Appendix Sub Heading 1"/>
    <w:basedOn w:val="Heading8"/>
    <w:next w:val="BodyText"/>
    <w:qFormat/>
    <w:rsid w:val="00B12515"/>
    <w:pPr>
      <w:numPr>
        <w:ilvl w:val="1"/>
        <w:numId w:val="17"/>
      </w:numPr>
      <w:ind w:left="851" w:hanging="851"/>
    </w:pPr>
  </w:style>
  <w:style w:type="paragraph" w:customStyle="1" w:styleId="AppendixSubHeading2">
    <w:name w:val="Appendix Sub Heading 2"/>
    <w:basedOn w:val="Heading9"/>
    <w:next w:val="BodyText"/>
    <w:qFormat/>
    <w:rsid w:val="00B12515"/>
    <w:pPr>
      <w:numPr>
        <w:ilvl w:val="2"/>
        <w:numId w:val="17"/>
      </w:numPr>
      <w:ind w:left="851" w:hanging="851"/>
    </w:pPr>
  </w:style>
  <w:style w:type="numbering" w:customStyle="1" w:styleId="Style1">
    <w:name w:val="Style1"/>
    <w:uiPriority w:val="99"/>
    <w:rsid w:val="00496615"/>
    <w:pPr>
      <w:numPr>
        <w:numId w:val="13"/>
      </w:numPr>
    </w:pPr>
  </w:style>
  <w:style w:type="numbering" w:customStyle="1" w:styleId="AppendixListStyle">
    <w:name w:val="Appendix List Style"/>
    <w:uiPriority w:val="99"/>
    <w:rsid w:val="00345B8A"/>
    <w:pPr>
      <w:numPr>
        <w:numId w:val="16"/>
      </w:numPr>
    </w:pPr>
  </w:style>
  <w:style w:type="numbering" w:customStyle="1" w:styleId="AppendixStyle">
    <w:name w:val="Appendix Style"/>
    <w:uiPriority w:val="99"/>
    <w:rsid w:val="009C217E"/>
    <w:pPr>
      <w:numPr>
        <w:numId w:val="15"/>
      </w:numPr>
    </w:pPr>
  </w:style>
  <w:style w:type="character" w:customStyle="1" w:styleId="HTMLPreformattedChar">
    <w:name w:val="HTML Preformatted Char"/>
    <w:basedOn w:val="DefaultParagraphFont"/>
    <w:link w:val="HTMLPreformatted"/>
    <w:uiPriority w:val="99"/>
    <w:semiHidden/>
    <w:rsid w:val="00193F99"/>
    <w:rPr>
      <w:rFonts w:ascii="Courier New" w:hAnsi="Courier New" w:cs="Courier New"/>
    </w:rPr>
  </w:style>
  <w:style w:type="character" w:customStyle="1" w:styleId="UnresolvedMention1">
    <w:name w:val="Unresolved Mention1"/>
    <w:basedOn w:val="DefaultParagraphFont"/>
    <w:uiPriority w:val="99"/>
    <w:semiHidden/>
    <w:unhideWhenUsed/>
    <w:rsid w:val="0030760C"/>
    <w:rPr>
      <w:color w:val="605E5C"/>
      <w:shd w:val="clear" w:color="auto" w:fill="E1DFDD"/>
    </w:rPr>
  </w:style>
  <w:style w:type="character" w:styleId="UnresolvedMention">
    <w:name w:val="Unresolved Mention"/>
    <w:basedOn w:val="DefaultParagraphFont"/>
    <w:uiPriority w:val="99"/>
    <w:semiHidden/>
    <w:unhideWhenUsed/>
    <w:rsid w:val="00066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71717">
      <w:bodyDiv w:val="1"/>
      <w:marLeft w:val="0"/>
      <w:marRight w:val="0"/>
      <w:marTop w:val="0"/>
      <w:marBottom w:val="0"/>
      <w:divBdr>
        <w:top w:val="none" w:sz="0" w:space="0" w:color="auto"/>
        <w:left w:val="none" w:sz="0" w:space="0" w:color="auto"/>
        <w:bottom w:val="none" w:sz="0" w:space="0" w:color="auto"/>
        <w:right w:val="none" w:sz="0" w:space="0" w:color="auto"/>
      </w:divBdr>
    </w:div>
    <w:div w:id="481042279">
      <w:bodyDiv w:val="1"/>
      <w:marLeft w:val="0"/>
      <w:marRight w:val="0"/>
      <w:marTop w:val="0"/>
      <w:marBottom w:val="0"/>
      <w:divBdr>
        <w:top w:val="none" w:sz="0" w:space="0" w:color="auto"/>
        <w:left w:val="none" w:sz="0" w:space="0" w:color="auto"/>
        <w:bottom w:val="none" w:sz="0" w:space="0" w:color="auto"/>
        <w:right w:val="none" w:sz="0" w:space="0" w:color="auto"/>
      </w:divBdr>
    </w:div>
    <w:div w:id="870264560">
      <w:bodyDiv w:val="1"/>
      <w:marLeft w:val="0"/>
      <w:marRight w:val="0"/>
      <w:marTop w:val="0"/>
      <w:marBottom w:val="0"/>
      <w:divBdr>
        <w:top w:val="none" w:sz="0" w:space="0" w:color="auto"/>
        <w:left w:val="none" w:sz="0" w:space="0" w:color="auto"/>
        <w:bottom w:val="none" w:sz="0" w:space="0" w:color="auto"/>
        <w:right w:val="none" w:sz="0" w:space="0" w:color="auto"/>
      </w:divBdr>
    </w:div>
    <w:div w:id="1169371418">
      <w:bodyDiv w:val="1"/>
      <w:marLeft w:val="0"/>
      <w:marRight w:val="0"/>
      <w:marTop w:val="0"/>
      <w:marBottom w:val="0"/>
      <w:divBdr>
        <w:top w:val="none" w:sz="0" w:space="0" w:color="auto"/>
        <w:left w:val="none" w:sz="0" w:space="0" w:color="auto"/>
        <w:bottom w:val="none" w:sz="0" w:space="0" w:color="auto"/>
        <w:right w:val="none" w:sz="0" w:space="0" w:color="auto"/>
      </w:divBdr>
    </w:div>
    <w:div w:id="1275866296">
      <w:bodyDiv w:val="1"/>
      <w:marLeft w:val="0"/>
      <w:marRight w:val="0"/>
      <w:marTop w:val="0"/>
      <w:marBottom w:val="0"/>
      <w:divBdr>
        <w:top w:val="none" w:sz="0" w:space="0" w:color="auto"/>
        <w:left w:val="none" w:sz="0" w:space="0" w:color="auto"/>
        <w:bottom w:val="none" w:sz="0" w:space="0" w:color="auto"/>
        <w:right w:val="none" w:sz="0" w:space="0" w:color="auto"/>
      </w:divBdr>
    </w:div>
    <w:div w:id="1563756008">
      <w:bodyDiv w:val="1"/>
      <w:marLeft w:val="0"/>
      <w:marRight w:val="0"/>
      <w:marTop w:val="0"/>
      <w:marBottom w:val="0"/>
      <w:divBdr>
        <w:top w:val="none" w:sz="0" w:space="0" w:color="auto"/>
        <w:left w:val="none" w:sz="0" w:space="0" w:color="auto"/>
        <w:bottom w:val="none" w:sz="0" w:space="0" w:color="auto"/>
        <w:right w:val="none" w:sz="0" w:space="0" w:color="auto"/>
      </w:divBdr>
    </w:div>
    <w:div w:id="1581016020">
      <w:bodyDiv w:val="1"/>
      <w:marLeft w:val="0"/>
      <w:marRight w:val="0"/>
      <w:marTop w:val="0"/>
      <w:marBottom w:val="0"/>
      <w:divBdr>
        <w:top w:val="none" w:sz="0" w:space="0" w:color="auto"/>
        <w:left w:val="none" w:sz="0" w:space="0" w:color="auto"/>
        <w:bottom w:val="none" w:sz="0" w:space="0" w:color="auto"/>
        <w:right w:val="none" w:sz="0" w:space="0" w:color="auto"/>
      </w:divBdr>
    </w:div>
    <w:div w:id="167564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chart" Target="charts/chart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mailto:jake.prout@inpex.com.au"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https://www.ga.gov.au/scientific-topics/energy/resources/carbon-capture-and-storage-ccs" TargetMode="Externa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eader" Target="header5.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header" Target="header4.xml" Id="rId22" /><Relationship Type="http://schemas.openxmlformats.org/officeDocument/2006/relationships/theme" Target="theme/theme1.xml" Id="rId27" /><Relationship Type="http://schemas.openxmlformats.org/officeDocument/2006/relationships/customXml" Target="/customXML/item8.xml" Id="R8bae341991d34a6d"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oksar\AppData\Roaming\Microsoft\Templates\INPEX\INPEX%20Controlled%20&amp;%20Managed%20Documen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npexaustralia.sharepoint.com/sites/HSE_Environment/Shared%20Documents/Offshore/13_CCS%20Drilling/1_Approvals/Public%20comments/Identification%20of%20matters%20raised/Submitters_Matters%20Raised_Summary%20Spreadsheet_CCS%20Drilling%20&amp;%20Seismi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2A7-4D93-AE9E-DB7F2B654D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2A7-4D93-AE9E-DB7F2B654D5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2A7-4D93-AE9E-DB7F2B654D5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2A7-4D93-AE9E-DB7F2B654D5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2A7-4D93-AE9E-DB7F2B654D5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2A7-4D93-AE9E-DB7F2B654D5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2A7-4D93-AE9E-DB7F2B654D52}"/>
              </c:ext>
            </c:extLst>
          </c:dPt>
          <c:cat>
            <c:strRef>
              <c:f>'Drilling Pie chart'!$H$3:$H$9</c:f>
              <c:strCache>
                <c:ptCount val="7"/>
                <c:pt idx="0">
                  <c:v>Greenhouse gas (GHG) emissions management</c:v>
                </c:pt>
                <c:pt idx="1">
                  <c:v>Cumulative and additive impacts from liquid discharges associated with drilling</c:v>
                </c:pt>
                <c:pt idx="2">
                  <c:v>Consideration of additional/alternative management controls to reduce impacts</c:v>
                </c:pt>
                <c:pt idx="3">
                  <c:v>Impacts to the marine environment and marine protected areas</c:v>
                </c:pt>
                <c:pt idx="4">
                  <c:v>Consultation process and identification of relevant persons</c:v>
                </c:pt>
                <c:pt idx="5">
                  <c:v>Risks posed during emergency conditions (hydrocarbon spill)</c:v>
                </c:pt>
                <c:pt idx="6">
                  <c:v>CCS is unproven technology</c:v>
                </c:pt>
              </c:strCache>
            </c:strRef>
          </c:cat>
          <c:val>
            <c:numRef>
              <c:f>'Drilling Pie chart'!$I$3:$I$9</c:f>
              <c:numCache>
                <c:formatCode>General</c:formatCode>
                <c:ptCount val="7"/>
                <c:pt idx="0">
                  <c:v>3</c:v>
                </c:pt>
                <c:pt idx="1">
                  <c:v>1</c:v>
                </c:pt>
                <c:pt idx="2">
                  <c:v>1</c:v>
                </c:pt>
                <c:pt idx="3">
                  <c:v>4</c:v>
                </c:pt>
                <c:pt idx="4">
                  <c:v>5</c:v>
                </c:pt>
                <c:pt idx="5">
                  <c:v>1</c:v>
                </c:pt>
                <c:pt idx="6">
                  <c:v>1</c:v>
                </c:pt>
              </c:numCache>
            </c:numRef>
          </c:val>
          <c:extLst>
            <c:ext xmlns:c16="http://schemas.microsoft.com/office/drawing/2014/chart" uri="{C3380CC4-5D6E-409C-BE32-E72D297353CC}">
              <c16:uniqueId val="{0000000E-B2A7-4D93-AE9E-DB7F2B654D5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INPEX">
      <a:dk1>
        <a:sysClr val="windowText" lastClr="000000"/>
      </a:dk1>
      <a:lt1>
        <a:sysClr val="window" lastClr="FFFFFF"/>
      </a:lt1>
      <a:dk2>
        <a:srgbClr val="444088"/>
      </a:dk2>
      <a:lt2>
        <a:srgbClr val="D7D7D7"/>
      </a:lt2>
      <a:accent1>
        <a:srgbClr val="404488"/>
      </a:accent1>
      <a:accent2>
        <a:srgbClr val="0091B5"/>
      </a:accent2>
      <a:accent3>
        <a:srgbClr val="008852"/>
      </a:accent3>
      <a:accent4>
        <a:srgbClr val="646464"/>
      </a:accent4>
      <a:accent5>
        <a:srgbClr val="76B9DA"/>
      </a:accent5>
      <a:accent6>
        <a:srgbClr val="D7D7D7"/>
      </a:accent6>
      <a:hlink>
        <a:srgbClr val="444088"/>
      </a:hlink>
      <a:folHlink>
        <a:srgbClr val="0091B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2C89A8D7623F46F88A15EF133A706EA0" version="1.0.0">
  <systemFields>
    <field name="Objective-Id">
      <value order="0">A989235</value>
    </field>
    <field name="Objective-Title">
      <value order="0">AS - Sub 1 - Titleholder Report on Public Comment - Bonaparte Basin Exploration Drilling EP</value>
    </field>
    <field name="Objective-Description">
      <value order="0"/>
    </field>
    <field name="Objective-CreationStamp">
      <value order="0">2023-08-15T00:27:45Z</value>
    </field>
    <field name="Objective-IsApproved">
      <value order="0">false</value>
    </field>
    <field name="Objective-IsPublished">
      <value order="0">true</value>
    </field>
    <field name="Objective-DatePublished">
      <value order="0">2023-08-15T00:27:52Z</value>
    </field>
    <field name="Objective-ModificationStamp">
      <value order="0">2023-08-21T05:34:37Z</value>
    </field>
    <field name="Objective-Owner">
      <value order="0">Tori Tsukino</value>
    </field>
    <field name="Objective-Path">
      <value order="0">Objective Global Folder:File Plan:Regulatory Operations:Assessment:Assessment 7157 - Environment Plan (Exploration) New - INPEX Browse E&amp;P Pty Ltd - Bonaparte Basin Exploration Drilling</value>
    </field>
    <field name="Objective-Parent">
      <value order="0">Assessment 7157 - Environment Plan (Exploration) New - INPEX Browse E&amp;P Pty Ltd - Bonaparte Basin Exploration Drilling</value>
    </field>
    <field name="Objective-State">
      <value order="0">Published</value>
    </field>
    <field name="Objective-VersionId">
      <value order="0">vA1927989</value>
    </field>
    <field name="Objective-Version">
      <value order="0">1.0</value>
    </field>
    <field name="Objective-VersionNumber">
      <value order="0">1</value>
    </field>
    <field name="Objective-VersionComment">
      <value order="0"/>
    </field>
    <field name="Objective-FileNumber">
      <value order="0">R026739</value>
    </field>
    <field name="Objective-Classification">
      <value order="0">OFFICIAL: Sensitive</value>
    </field>
    <field name="Objective-Caveats">
      <value order="0"/>
    </field>
  </systemFields>
  <catalogues>
    <catalogue name="Document - Incoming Type Catalogue" type="type" ori="id:cA4">
      <field name="Objective-IMM (prev DLM)">
        <value order="0"/>
      </field>
      <field name="Objective-Date Received">
        <value order="0">2023-08-14T16:00:00Z</value>
      </field>
      <field name="Objective-Duty Holders and Organisations">
        <value order="0"/>
      </field>
      <field name="Objective-Facility">
        <value order="0"/>
      </field>
      <field name="Objective-RMS ID">
        <value order="0">7157</value>
      </field>
      <field name="Objective-Monthly Injury Summary ID">
        <value order="0"/>
      </field>
      <field name="Objective-Date of Document">
        <value order="0"/>
      </field>
      <field name="Objective-External Author">
        <value order="0"/>
      </field>
      <field name="Objective-External Reference">
        <value order="0"/>
      </field>
      <field name="Objective-Organisation">
        <value order="0">INPEX Browse E&amp;P Pty Ltd</value>
      </field>
      <field name="Objective-Connect Creator">
        <value order="0"/>
      </field>
      <field name="Objective-Action History">
        <value order="0"/>
      </field>
      <field name="Objective-Approved for External Publication">
        <value order="0">Yes</value>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7c2a72-bf4f-4a68-92cc-2b793249a192">
      <Terms xmlns="http://schemas.microsoft.com/office/infopath/2007/PartnerControls"/>
    </lcf76f155ced4ddcb4097134ff3c332f>
    <TaxCatchAll xmlns="d6ccbd0c-83f8-434e-8fec-15f0d86299b6" xsi:nil="true"/>
    <_dlc_DocId xmlns="d6ccbd0c-83f8-434e-8fec-15f0d86299b6">INPEXAU-995265974-110039</_dlc_DocId>
    <_dlc_DocIdUrl xmlns="d6ccbd0c-83f8-434e-8fec-15f0d86299b6">
      <Url>https://inpexaustralia.sharepoint.com/sites/HSE_Environment/_layouts/15/DocIdRedir.aspx?ID=INPEXAU-995265974-110039</Url>
      <Description>INPEXAU-995265974-110039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021A00CB6716C840A4FD50EDBF4D1508" ma:contentTypeVersion="18" ma:contentTypeDescription="Create a new document." ma:contentTypeScope="" ma:versionID="9390885464bdfedbba54d0ff70940e44">
  <xsd:schema xmlns:xsd="http://www.w3.org/2001/XMLSchema" xmlns:xs="http://www.w3.org/2001/XMLSchema" xmlns:p="http://schemas.microsoft.com/office/2006/metadata/properties" xmlns:ns2="d6ccbd0c-83f8-434e-8fec-15f0d86299b6" xmlns:ns3="107c2a72-bf4f-4a68-92cc-2b793249a192" targetNamespace="http://schemas.microsoft.com/office/2006/metadata/properties" ma:root="true" ma:fieldsID="52ab97f97c80c7c58a7229e40966bc97" ns2:_="" ns3:_="">
    <xsd:import namespace="d6ccbd0c-83f8-434e-8fec-15f0d86299b6"/>
    <xsd:import namespace="107c2a72-bf4f-4a68-92cc-2b793249a1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cbd0c-83f8-434e-8fec-15f0d86299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0aec980-61b3-4042-8426-ae6b4908bafc}" ma:internalName="TaxCatchAll" ma:showField="CatchAllData" ma:web="d6ccbd0c-83f8-434e-8fec-15f0d8629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c2a72-bf4f-4a68-92cc-2b793249a1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8a1e174-430e-4bda-ab8f-6f37c28c78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505F5-53A8-43E2-BEC4-4407829C9C12}">
  <ds:schemaRefs>
    <ds:schemaRef ds:uri="http://schemas.microsoft.com/office/2006/customDocumentInformationPanel"/>
  </ds:schemaRefs>
</ds:datastoreItem>
</file>

<file path=customXml/itemProps2.xml><?xml version="1.0" encoding="utf-8"?>
<ds:datastoreItem xmlns:ds="http://schemas.openxmlformats.org/officeDocument/2006/customXml" ds:itemID="{FB390D57-3926-4506-B3AD-DE6D3469FA58}">
  <ds:schemaRefs>
    <ds:schemaRef ds:uri="http://schemas.openxmlformats.org/officeDocument/2006/bibliography"/>
  </ds:schemaRefs>
</ds:datastoreItem>
</file>

<file path=customXml/itemProps3.xml><?xml version="1.0" encoding="utf-8"?>
<ds:datastoreItem xmlns:ds="http://schemas.openxmlformats.org/officeDocument/2006/customXml" ds:itemID="{AB851583-CB38-4732-8F5F-04DB139F6285}">
  <ds:schemaRefs>
    <ds:schemaRef ds:uri="http://schemas.microsoft.com/office/2006/metadata/properties"/>
    <ds:schemaRef ds:uri="http://schemas.microsoft.com/office/infopath/2007/PartnerControls"/>
    <ds:schemaRef ds:uri="107c2a72-bf4f-4a68-92cc-2b793249a192"/>
    <ds:schemaRef ds:uri="d6ccbd0c-83f8-434e-8fec-15f0d86299b6"/>
  </ds:schemaRefs>
</ds:datastoreItem>
</file>

<file path=customXml/itemProps4.xml><?xml version="1.0" encoding="utf-8"?>
<ds:datastoreItem xmlns:ds="http://schemas.openxmlformats.org/officeDocument/2006/customXml" ds:itemID="{73C43A41-D35A-451C-9CF5-87D9AF86F0A7}">
  <ds:schemaRefs>
    <ds:schemaRef ds:uri="http://schemas.openxmlformats.org/officeDocument/2006/bibliography"/>
  </ds:schemaRefs>
</ds:datastoreItem>
</file>

<file path=customXml/itemProps5.xml><?xml version="1.0" encoding="utf-8"?>
<ds:datastoreItem xmlns:ds="http://schemas.openxmlformats.org/officeDocument/2006/customXml" ds:itemID="{B3B38E75-85A5-428A-B227-FE211DFB2E67}">
  <ds:schemaRefs>
    <ds:schemaRef ds:uri="http://schemas.microsoft.com/sharepoint/v3/contenttype/forms"/>
  </ds:schemaRefs>
</ds:datastoreItem>
</file>

<file path=customXml/itemProps6.xml><?xml version="1.0" encoding="utf-8"?>
<ds:datastoreItem xmlns:ds="http://schemas.openxmlformats.org/officeDocument/2006/customXml" ds:itemID="{C5879327-9E92-4A7E-AEF3-96A22FBC66BC}">
  <ds:schemaRefs>
    <ds:schemaRef ds:uri="http://schemas.microsoft.com/sharepoint/events"/>
  </ds:schemaRefs>
</ds:datastoreItem>
</file>

<file path=customXml/itemProps7.xml><?xml version="1.0" encoding="utf-8"?>
<ds:datastoreItem xmlns:ds="http://schemas.openxmlformats.org/officeDocument/2006/customXml" ds:itemID="{4F18926A-ADDA-4B3F-AB72-F50A26F54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cbd0c-83f8-434e-8fec-15f0d86299b6"/>
    <ds:schemaRef ds:uri="107c2a72-bf4f-4a68-92cc-2b793249a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INPEX Controlled &amp; Managed Document.dotx</Template>
  <TotalTime>295</TotalTime>
  <Pages>13</Pages>
  <Words>3022</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Enter title of document</vt:lpstr>
    </vt:vector>
  </TitlesOfParts>
  <Company>INPEX</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of document</dc:title>
  <dc:creator>oakerman</dc:creator>
  <cp:lastModifiedBy>Sarah Cook</cp:lastModifiedBy>
  <cp:revision>62</cp:revision>
  <cp:lastPrinted>2010-01-06T06:06:00Z</cp:lastPrinted>
  <dcterms:created xsi:type="dcterms:W3CDTF">2023-01-10T01:54:00Z</dcterms:created>
  <dcterms:modified xsi:type="dcterms:W3CDTF">2023-08-14T00:50:00Z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lpwstr>-1</vt:lpwstr>
  </property>
  <property fmtid="{D5CDD505-2E9C-101B-9397-08002B2CF9AE}" pid="3" name="Version">
    <vt:lpwstr>3.1</vt:lpwstr>
  </property>
  <property fmtid="{D5CDD505-2E9C-101B-9397-08002B2CF9AE}" pid="4" name="INPEXSensitivity">
    <vt:lpwstr>Internal use only</vt:lpwstr>
  </property>
  <property fmtid="{D5CDD505-2E9C-101B-9397-08002B2CF9AE}" pid="5" name="Report date">
    <vt:lpwstr>[Report date]</vt:lpwstr>
  </property>
  <property fmtid="{D5CDD505-2E9C-101B-9397-08002B2CF9AE}" pid="6" name="chkDocDistFlag">
    <vt:lpwstr>-1</vt:lpwstr>
  </property>
  <property fmtid="{D5CDD505-2E9C-101B-9397-08002B2CF9AE}" pid="7" name="chkTOAFlag">
    <vt:lpwstr>-1</vt:lpwstr>
  </property>
  <property fmtid="{D5CDD505-2E9C-101B-9397-08002B2CF9AE}" pid="8" name="chkTOCFlag">
    <vt:lpwstr>-1</vt:lpwstr>
  </property>
  <property fmtid="{D5CDD505-2E9C-101B-9397-08002B2CF9AE}" pid="9" name="chkTOFFlag">
    <vt:lpwstr>-1</vt:lpwstr>
  </property>
  <property fmtid="{D5CDD505-2E9C-101B-9397-08002B2CF9AE}" pid="10" name="chkTOTFlag">
    <vt:lpwstr>-1</vt:lpwstr>
  </property>
  <property fmtid="{D5CDD505-2E9C-101B-9397-08002B2CF9AE}" pid="11" name="INP_Version">
    <vt:lpwstr>A</vt:lpwstr>
  </property>
  <property fmtid="{D5CDD505-2E9C-101B-9397-08002B2CF9AE}" pid="12" name="INP_Author">
    <vt:lpwstr>[Author]</vt:lpwstr>
  </property>
  <property fmtid="{D5CDD505-2E9C-101B-9397-08002B2CF9AE}" pid="13" name="_DocHome">
    <vt:i4>-1553151401</vt:i4>
  </property>
  <property fmtid="{D5CDD505-2E9C-101B-9397-08002B2CF9AE}" pid="14" name="iManageFooter">
    <vt:lpwstr/>
  </property>
  <property fmtid="{D5CDD505-2E9C-101B-9397-08002B2CF9AE}" pid="15" name="INP_ItemID">
    <vt:lpwstr>0000-AK-TPL-60061</vt:lpwstr>
  </property>
  <property fmtid="{D5CDD505-2E9C-101B-9397-08002B2CF9AE}" pid="16" name="INP_DocType">
    <vt:lpwstr>TPL - Template</vt:lpwstr>
  </property>
  <property fmtid="{D5CDD505-2E9C-101B-9397-08002B2CF9AE}" pid="17" name="INP_SecClass">
    <vt:lpwstr>Unrestricted</vt:lpwstr>
  </property>
  <property fmtid="{D5CDD505-2E9C-101B-9397-08002B2CF9AE}" pid="18" name="INP_Revision">
    <vt:lpwstr>5</vt:lpwstr>
  </property>
  <property fmtid="{D5CDD505-2E9C-101B-9397-08002B2CF9AE}" pid="19" name="INP_LastModified">
    <vt:lpwstr>05/10/2018</vt:lpwstr>
  </property>
  <property fmtid="{D5CDD505-2E9C-101B-9397-08002B2CF9AE}" pid="20" name="INP_ObjectName">
    <vt:lpwstr>INPEX Controlled &amp; Managed Documents Template</vt:lpwstr>
  </property>
  <property fmtid="{D5CDD505-2E9C-101B-9397-08002B2CF9AE}" pid="21" name="INP_ObjectID">
    <vt:lpwstr>0901e2408157afbf</vt:lpwstr>
  </property>
  <property fmtid="{D5CDD505-2E9C-101B-9397-08002B2CF9AE}" pid="22" name="ContentTypeId">
    <vt:lpwstr>0x010100021A00CB6716C840A4FD50EDBF4D1508</vt:lpwstr>
  </property>
  <property fmtid="{D5CDD505-2E9C-101B-9397-08002B2CF9AE}" pid="23" name="_dlc_DocIdItemGuid">
    <vt:lpwstr>2919e808-f933-48e4-8b1b-94d5d001ba3b</vt:lpwstr>
  </property>
  <property fmtid="{D5CDD505-2E9C-101B-9397-08002B2CF9AE}" pid="24" name="MediaServiceImageTags">
    <vt:lpwstr/>
  </property>
  <property fmtid="{D5CDD505-2E9C-101B-9397-08002B2CF9AE}" pid="25" name="Objective-Id">
    <vt:lpwstr>A989235</vt:lpwstr>
  </property>
  <property fmtid="{D5CDD505-2E9C-101B-9397-08002B2CF9AE}" pid="26" name="Objective-Title">
    <vt:lpwstr>AS - Sub 1 - Titleholder Report on Public Comment - Bonaparte Basin Exploration Drilling EP</vt:lpwstr>
  </property>
  <property fmtid="{D5CDD505-2E9C-101B-9397-08002B2CF9AE}" pid="27" name="Objective-Description">
    <vt:lpwstr/>
  </property>
  <property fmtid="{D5CDD505-2E9C-101B-9397-08002B2CF9AE}" pid="28" name="Objective-CreationStamp">
    <vt:filetime>2023-08-15T00:27:45Z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2023-08-15T00:27:52Z</vt:filetime>
  </property>
  <property fmtid="{D5CDD505-2E9C-101B-9397-08002B2CF9AE}" pid="32" name="Objective-ModificationStamp">
    <vt:filetime>2023-08-21T05:34:37Z</vt:filetime>
  </property>
  <property fmtid="{D5CDD505-2E9C-101B-9397-08002B2CF9AE}" pid="33" name="Objective-Owner">
    <vt:lpwstr>Tori Tsukino</vt:lpwstr>
  </property>
  <property fmtid="{D5CDD505-2E9C-101B-9397-08002B2CF9AE}" pid="34" name="Objective-Path">
    <vt:lpwstr>Objective Global Folder:File Plan:Regulatory Operations:Assessment:Assessment 7157 - Environment Plan (Exploration) New - INPEX Browse E&amp;P Pty Ltd - Bonaparte Basin Exploration Drilling</vt:lpwstr>
  </property>
  <property fmtid="{D5CDD505-2E9C-101B-9397-08002B2CF9AE}" pid="35" name="Objective-Parent">
    <vt:lpwstr>Assessment 7157 - Environment Plan (Exploration) New - INPEX Browse E&amp;P Pty Ltd - Bonaparte Basin Exploration Drilling</vt:lpwstr>
  </property>
  <property fmtid="{D5CDD505-2E9C-101B-9397-08002B2CF9AE}" pid="36" name="Objective-State">
    <vt:lpwstr>Published</vt:lpwstr>
  </property>
  <property fmtid="{D5CDD505-2E9C-101B-9397-08002B2CF9AE}" pid="37" name="Objective-VersionId">
    <vt:lpwstr>vA1927989</vt:lpwstr>
  </property>
  <property fmtid="{D5CDD505-2E9C-101B-9397-08002B2CF9AE}" pid="38" name="Objective-Version">
    <vt:lpwstr>1.0</vt:lpwstr>
  </property>
  <property fmtid="{D5CDD505-2E9C-101B-9397-08002B2CF9AE}" pid="39" name="Objective-VersionNumber">
    <vt:r8>1</vt:r8>
  </property>
  <property fmtid="{D5CDD505-2E9C-101B-9397-08002B2CF9AE}" pid="40" name="Objective-VersionComment">
    <vt:lpwstr/>
  </property>
  <property fmtid="{D5CDD505-2E9C-101B-9397-08002B2CF9AE}" pid="41" name="Objective-FileNumber">
    <vt:lpwstr>R026739</vt:lpwstr>
  </property>
  <property fmtid="{D5CDD505-2E9C-101B-9397-08002B2CF9AE}" pid="42" name="Objective-Classification">
    <vt:lpwstr>OFFICIAL: Sensitive</vt:lpwstr>
  </property>
  <property fmtid="{D5CDD505-2E9C-101B-9397-08002B2CF9AE}" pid="43" name="Objective-Caveats">
    <vt:lpwstr/>
  </property>
  <property fmtid="{D5CDD505-2E9C-101B-9397-08002B2CF9AE}" pid="44" name="Objective-IMM (prev DLM)">
    <vt:lpwstr/>
  </property>
  <property fmtid="{D5CDD505-2E9C-101B-9397-08002B2CF9AE}" pid="45" name="Objective-Date Received">
    <vt:filetime>2023-08-14T16:00:00Z</vt:filetime>
  </property>
  <property fmtid="{D5CDD505-2E9C-101B-9397-08002B2CF9AE}" pid="46" name="Objective-Duty Holders and Organisations">
    <vt:lpwstr/>
  </property>
  <property fmtid="{D5CDD505-2E9C-101B-9397-08002B2CF9AE}" pid="47" name="Objective-Facility">
    <vt:lpwstr/>
  </property>
  <property fmtid="{D5CDD505-2E9C-101B-9397-08002B2CF9AE}" pid="48" name="Objective-RMS ID">
    <vt:lpwstr>7157</vt:lpwstr>
  </property>
  <property fmtid="{D5CDD505-2E9C-101B-9397-08002B2CF9AE}" pid="49" name="Objective-Monthly Injury Summary ID">
    <vt:lpwstr/>
  </property>
  <property fmtid="{D5CDD505-2E9C-101B-9397-08002B2CF9AE}" pid="50" name="Objective-Date of Document">
    <vt:lpwstr/>
  </property>
  <property fmtid="{D5CDD505-2E9C-101B-9397-08002B2CF9AE}" pid="51" name="Objective-External Author">
    <vt:lpwstr/>
  </property>
  <property fmtid="{D5CDD505-2E9C-101B-9397-08002B2CF9AE}" pid="52" name="Objective-External Reference">
    <vt:lpwstr/>
  </property>
  <property fmtid="{D5CDD505-2E9C-101B-9397-08002B2CF9AE}" pid="53" name="Objective-Organisation">
    <vt:lpwstr>INPEX Browse E&amp;P Pty Ltd</vt:lpwstr>
  </property>
  <property fmtid="{D5CDD505-2E9C-101B-9397-08002B2CF9AE}" pid="54" name="Objective-Connect Creator">
    <vt:lpwstr/>
  </property>
  <property fmtid="{D5CDD505-2E9C-101B-9397-08002B2CF9AE}" pid="55" name="Objective-Action History">
    <vt:lpwstr/>
  </property>
  <property fmtid="{D5CDD505-2E9C-101B-9397-08002B2CF9AE}" pid="56" name="Objective-Approved for External Publication">
    <vt:lpwstr>Yes</vt:lpwstr>
  </property>
</Properties>
</file>